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1F72" w14:textId="52C105D2" w:rsidR="00CE25ED" w:rsidRPr="00CE25ED" w:rsidRDefault="00CE25ED" w:rsidP="00FA52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2051D4" w14:textId="54E5E885" w:rsidR="00846923" w:rsidRPr="00CE25ED" w:rsidRDefault="00C64C0E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Balance Presupuestario de Recursos Disponibles Negativo</w:t>
      </w:r>
    </w:p>
    <w:p w14:paraId="2F7BB117" w14:textId="77777777" w:rsidR="00E45078" w:rsidRPr="00CE25ED" w:rsidRDefault="00E45078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851A4" w14:textId="578BF67B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</w:t>
      </w:r>
    </w:p>
    <w:p w14:paraId="316EACB0" w14:textId="77777777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12A30" w14:textId="19BE05B5" w:rsidR="00C64C0E" w:rsidRPr="00CE25ED" w:rsidRDefault="00C64C0E" w:rsidP="00FA52ED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Acciones para recuperar el Balance Presupuestario de Recursos Disponibles Sostenible</w:t>
      </w:r>
    </w:p>
    <w:p w14:paraId="777EB284" w14:textId="6245F6F2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F899E" w14:textId="0A3B10A3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6 y 19 LDF</w:t>
      </w:r>
    </w:p>
    <w:p w14:paraId="16FA04C6" w14:textId="7D7AC9C4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B54D1" w14:textId="4402B5BF" w:rsidR="00C64C0E" w:rsidRPr="00CE25ED" w:rsidRDefault="008953A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Municipal DIF no presenta </w:t>
      </w:r>
      <w:r w:rsidR="008E65CE" w:rsidRPr="00CE25ED">
        <w:rPr>
          <w:rFonts w:ascii="Arial" w:hAnsi="Arial" w:cs="Arial"/>
          <w:sz w:val="20"/>
          <w:szCs w:val="20"/>
        </w:rPr>
        <w:t>balance presupuestario de recursos disponibles negativo.</w:t>
      </w:r>
    </w:p>
    <w:p w14:paraId="370336A1" w14:textId="77777777" w:rsidR="00CE25ED" w:rsidRPr="00CE25ED" w:rsidRDefault="00CE25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A816F" w14:textId="6468ED38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Aumento o creación de nuevo gasto</w:t>
      </w:r>
    </w:p>
    <w:p w14:paraId="1404C50D" w14:textId="77777777" w:rsidR="006F5A6D" w:rsidRDefault="006F5A6D" w:rsidP="00FA52E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8616412" w14:textId="542B1656" w:rsidR="00E45078" w:rsidRPr="00CE25ED" w:rsidRDefault="00E45078" w:rsidP="00FA52E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informará:</w:t>
      </w:r>
    </w:p>
    <w:p w14:paraId="22E3285C" w14:textId="7308DBB2" w:rsidR="00E45078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No Etiquetado</w:t>
      </w:r>
      <w:r w:rsidR="00207081" w:rsidRPr="00CE25ED">
        <w:rPr>
          <w:rFonts w:ascii="Arial" w:hAnsi="Arial" w:cs="Arial"/>
          <w:sz w:val="20"/>
          <w:szCs w:val="20"/>
        </w:rPr>
        <w:t>.</w:t>
      </w:r>
    </w:p>
    <w:p w14:paraId="35E1343A" w14:textId="77777777" w:rsidR="00FA52ED" w:rsidRPr="00CE25ED" w:rsidRDefault="00FA52ED" w:rsidP="000D793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0AE86" w14:textId="5F045CC5" w:rsidR="00E45078" w:rsidRPr="00CE25ED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Etiquetado.</w:t>
      </w:r>
    </w:p>
    <w:p w14:paraId="4567DDB0" w14:textId="77777777" w:rsidR="00E45078" w:rsidRPr="00CE25ED" w:rsidRDefault="00E45078" w:rsidP="00FA52E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52F3D" w14:textId="54959315" w:rsidR="003573FC" w:rsidRDefault="00E4507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Artículos 8 y 21 LDF</w:t>
      </w:r>
    </w:p>
    <w:p w14:paraId="17B3DA3A" w14:textId="69C79785" w:rsidR="00120F25" w:rsidRDefault="00120F25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clara-nfasis1"/>
        <w:tblW w:w="9799" w:type="dxa"/>
        <w:jc w:val="center"/>
        <w:tblLook w:val="04A0" w:firstRow="1" w:lastRow="0" w:firstColumn="1" w:lastColumn="0" w:noHBand="0" w:noVBand="1"/>
      </w:tblPr>
      <w:tblGrid>
        <w:gridCol w:w="885"/>
        <w:gridCol w:w="3079"/>
        <w:gridCol w:w="1276"/>
        <w:gridCol w:w="1240"/>
        <w:gridCol w:w="1240"/>
        <w:gridCol w:w="1151"/>
        <w:gridCol w:w="928"/>
      </w:tblGrid>
      <w:tr w:rsidR="00120F25" w:rsidRPr="00120F25" w14:paraId="13C6A412" w14:textId="77777777" w:rsidTr="004C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noWrap/>
            <w:hideMark/>
          </w:tcPr>
          <w:p w14:paraId="7F161F21" w14:textId="77777777" w:rsidR="00120F25" w:rsidRPr="00120F25" w:rsidRDefault="00120F25" w:rsidP="00120F2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Fuente de Financiamiento</w:t>
            </w:r>
          </w:p>
        </w:tc>
        <w:tc>
          <w:tcPr>
            <w:tcW w:w="1276" w:type="dxa"/>
            <w:noWrap/>
            <w:hideMark/>
          </w:tcPr>
          <w:p w14:paraId="0EB52A2E" w14:textId="77777777" w:rsidR="00120F25" w:rsidRPr="00120F25" w:rsidRDefault="00120F25" w:rsidP="0012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40" w:type="dxa"/>
            <w:noWrap/>
            <w:hideMark/>
          </w:tcPr>
          <w:p w14:paraId="571FDD7C" w14:textId="77777777" w:rsidR="00120F25" w:rsidRPr="00120F25" w:rsidRDefault="00120F25" w:rsidP="0012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40" w:type="dxa"/>
            <w:noWrap/>
            <w:hideMark/>
          </w:tcPr>
          <w:p w14:paraId="7C80AF6A" w14:textId="77777777" w:rsidR="00120F25" w:rsidRPr="00120F25" w:rsidRDefault="00120F25" w:rsidP="0012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Devengado + Pagado</w:t>
            </w:r>
          </w:p>
        </w:tc>
        <w:tc>
          <w:tcPr>
            <w:tcW w:w="1151" w:type="dxa"/>
            <w:noWrap/>
            <w:hideMark/>
          </w:tcPr>
          <w:p w14:paraId="6FD67FBF" w14:textId="77777777" w:rsidR="00120F25" w:rsidRPr="00120F25" w:rsidRDefault="00120F25" w:rsidP="0012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 ejercer</w:t>
            </w:r>
          </w:p>
        </w:tc>
        <w:tc>
          <w:tcPr>
            <w:tcW w:w="928" w:type="dxa"/>
            <w:noWrap/>
            <w:hideMark/>
          </w:tcPr>
          <w:p w14:paraId="12EFC78A" w14:textId="77777777" w:rsidR="00120F25" w:rsidRPr="00120F25" w:rsidRDefault="00120F25" w:rsidP="0012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% Saldo</w:t>
            </w:r>
          </w:p>
        </w:tc>
      </w:tr>
      <w:tr w:rsidR="00120F25" w:rsidRPr="00120F25" w14:paraId="0C7E9D96" w14:textId="77777777" w:rsidTr="004C39C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690FD16" w14:textId="77777777" w:rsidR="00120F25" w:rsidRPr="00120F25" w:rsidRDefault="00120F25" w:rsidP="00120F25">
            <w:pPr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1100122</w:t>
            </w:r>
          </w:p>
        </w:tc>
        <w:tc>
          <w:tcPr>
            <w:tcW w:w="3079" w:type="dxa"/>
            <w:noWrap/>
            <w:hideMark/>
          </w:tcPr>
          <w:p w14:paraId="434A17D3" w14:textId="77777777" w:rsidR="00120F25" w:rsidRPr="00120F25" w:rsidRDefault="00120F25" w:rsidP="00120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Recurso municipal 2022</w:t>
            </w:r>
          </w:p>
        </w:tc>
        <w:tc>
          <w:tcPr>
            <w:tcW w:w="1276" w:type="dxa"/>
            <w:noWrap/>
            <w:hideMark/>
          </w:tcPr>
          <w:p w14:paraId="0C80C389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19,010,652.00</w:t>
            </w:r>
          </w:p>
        </w:tc>
        <w:tc>
          <w:tcPr>
            <w:tcW w:w="1240" w:type="dxa"/>
            <w:noWrap/>
            <w:hideMark/>
          </w:tcPr>
          <w:p w14:paraId="42DA15FE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19,010,652.00</w:t>
            </w:r>
          </w:p>
        </w:tc>
        <w:tc>
          <w:tcPr>
            <w:tcW w:w="1240" w:type="dxa"/>
            <w:noWrap/>
            <w:hideMark/>
          </w:tcPr>
          <w:p w14:paraId="438A8618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18,356,338.71</w:t>
            </w:r>
          </w:p>
        </w:tc>
        <w:tc>
          <w:tcPr>
            <w:tcW w:w="1151" w:type="dxa"/>
            <w:noWrap/>
            <w:hideMark/>
          </w:tcPr>
          <w:p w14:paraId="344711DF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654,313.29</w:t>
            </w:r>
          </w:p>
        </w:tc>
        <w:tc>
          <w:tcPr>
            <w:tcW w:w="928" w:type="dxa"/>
            <w:noWrap/>
            <w:hideMark/>
          </w:tcPr>
          <w:p w14:paraId="258578F9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3.44%</w:t>
            </w:r>
          </w:p>
        </w:tc>
      </w:tr>
      <w:tr w:rsidR="00120F25" w:rsidRPr="00120F25" w14:paraId="43EC8E79" w14:textId="77777777" w:rsidTr="004C39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0702EA6" w14:textId="77777777" w:rsidR="00120F25" w:rsidRPr="00120F25" w:rsidRDefault="00120F25" w:rsidP="00120F25">
            <w:pPr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1125122</w:t>
            </w:r>
          </w:p>
        </w:tc>
        <w:tc>
          <w:tcPr>
            <w:tcW w:w="3079" w:type="dxa"/>
            <w:noWrap/>
            <w:hideMark/>
          </w:tcPr>
          <w:p w14:paraId="1ABA8820" w14:textId="77777777" w:rsidR="00120F25" w:rsidRPr="00120F25" w:rsidRDefault="00120F25" w:rsidP="00120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Recursos fiscales (Prov. de R. Federal)</w:t>
            </w:r>
          </w:p>
        </w:tc>
        <w:tc>
          <w:tcPr>
            <w:tcW w:w="1276" w:type="dxa"/>
            <w:noWrap/>
            <w:hideMark/>
          </w:tcPr>
          <w:p w14:paraId="0104E3CF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2,900,049.00</w:t>
            </w:r>
          </w:p>
        </w:tc>
        <w:tc>
          <w:tcPr>
            <w:tcW w:w="1240" w:type="dxa"/>
            <w:noWrap/>
            <w:hideMark/>
          </w:tcPr>
          <w:p w14:paraId="33A427CF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2,900,049.00</w:t>
            </w:r>
          </w:p>
        </w:tc>
        <w:tc>
          <w:tcPr>
            <w:tcW w:w="1240" w:type="dxa"/>
            <w:noWrap/>
            <w:hideMark/>
          </w:tcPr>
          <w:p w14:paraId="3B97FF1A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2,900,049.00</w:t>
            </w:r>
          </w:p>
        </w:tc>
        <w:tc>
          <w:tcPr>
            <w:tcW w:w="1151" w:type="dxa"/>
            <w:noWrap/>
            <w:hideMark/>
          </w:tcPr>
          <w:p w14:paraId="512251B0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bookmarkStart w:id="0" w:name="RANGE!J6"/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  <w:bookmarkEnd w:id="0"/>
          </w:p>
        </w:tc>
        <w:tc>
          <w:tcPr>
            <w:tcW w:w="928" w:type="dxa"/>
            <w:noWrap/>
            <w:hideMark/>
          </w:tcPr>
          <w:p w14:paraId="2CA4A8CD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0.00%</w:t>
            </w:r>
          </w:p>
        </w:tc>
      </w:tr>
      <w:tr w:rsidR="00120F25" w:rsidRPr="00120F25" w14:paraId="21C72B6C" w14:textId="77777777" w:rsidTr="004C39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22952A" w14:textId="77777777" w:rsidR="00120F25" w:rsidRPr="00120F25" w:rsidRDefault="00120F25" w:rsidP="00120F25">
            <w:pPr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1126121</w:t>
            </w:r>
          </w:p>
        </w:tc>
        <w:tc>
          <w:tcPr>
            <w:tcW w:w="3079" w:type="dxa"/>
            <w:noWrap/>
            <w:hideMark/>
          </w:tcPr>
          <w:p w14:paraId="7AC16AF5" w14:textId="77777777" w:rsidR="00120F25" w:rsidRPr="00120F25" w:rsidRDefault="00120F25" w:rsidP="00120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Recursos fiscales (Prov. de R. Estatal)</w:t>
            </w:r>
          </w:p>
        </w:tc>
        <w:tc>
          <w:tcPr>
            <w:tcW w:w="1276" w:type="dxa"/>
            <w:noWrap/>
            <w:hideMark/>
          </w:tcPr>
          <w:p w14:paraId="69313F20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214F8DDC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527,376.26</w:t>
            </w:r>
          </w:p>
        </w:tc>
        <w:tc>
          <w:tcPr>
            <w:tcW w:w="1240" w:type="dxa"/>
            <w:noWrap/>
            <w:hideMark/>
          </w:tcPr>
          <w:p w14:paraId="04020598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525,067.91</w:t>
            </w:r>
          </w:p>
        </w:tc>
        <w:tc>
          <w:tcPr>
            <w:tcW w:w="1151" w:type="dxa"/>
            <w:noWrap/>
            <w:hideMark/>
          </w:tcPr>
          <w:p w14:paraId="5C9D556F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2,308.35</w:t>
            </w:r>
          </w:p>
        </w:tc>
        <w:tc>
          <w:tcPr>
            <w:tcW w:w="928" w:type="dxa"/>
            <w:noWrap/>
            <w:hideMark/>
          </w:tcPr>
          <w:p w14:paraId="1AE36C87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0.44%</w:t>
            </w:r>
          </w:p>
        </w:tc>
      </w:tr>
      <w:tr w:rsidR="00120F25" w:rsidRPr="00120F25" w14:paraId="082AC28E" w14:textId="77777777" w:rsidTr="004C39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0D9806F" w14:textId="77777777" w:rsidR="00120F25" w:rsidRPr="00120F25" w:rsidRDefault="00120F25" w:rsidP="00120F25">
            <w:pPr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1126122</w:t>
            </w:r>
          </w:p>
        </w:tc>
        <w:tc>
          <w:tcPr>
            <w:tcW w:w="3079" w:type="dxa"/>
            <w:noWrap/>
            <w:hideMark/>
          </w:tcPr>
          <w:p w14:paraId="632116FC" w14:textId="77777777" w:rsidR="00120F25" w:rsidRPr="00120F25" w:rsidRDefault="00120F25" w:rsidP="00120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Recursos fiscales (Prov. de R. Estatal)</w:t>
            </w:r>
          </w:p>
        </w:tc>
        <w:tc>
          <w:tcPr>
            <w:tcW w:w="1276" w:type="dxa"/>
            <w:noWrap/>
            <w:hideMark/>
          </w:tcPr>
          <w:p w14:paraId="077BBAB6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30B68094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345,986.35</w:t>
            </w:r>
          </w:p>
        </w:tc>
        <w:tc>
          <w:tcPr>
            <w:tcW w:w="1240" w:type="dxa"/>
            <w:noWrap/>
            <w:hideMark/>
          </w:tcPr>
          <w:p w14:paraId="646F8AE6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345,986.30</w:t>
            </w:r>
          </w:p>
        </w:tc>
        <w:tc>
          <w:tcPr>
            <w:tcW w:w="1151" w:type="dxa"/>
            <w:noWrap/>
            <w:hideMark/>
          </w:tcPr>
          <w:p w14:paraId="2630914B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</w:t>
            </w:r>
          </w:p>
        </w:tc>
        <w:tc>
          <w:tcPr>
            <w:tcW w:w="928" w:type="dxa"/>
            <w:noWrap/>
            <w:hideMark/>
          </w:tcPr>
          <w:p w14:paraId="3042A7C3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0.00%</w:t>
            </w:r>
          </w:p>
        </w:tc>
      </w:tr>
      <w:tr w:rsidR="00120F25" w:rsidRPr="00120F25" w14:paraId="64D7BD86" w14:textId="77777777" w:rsidTr="004C39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B766579" w14:textId="77777777" w:rsidR="00120F25" w:rsidRPr="00120F25" w:rsidRDefault="00120F25" w:rsidP="00120F25">
            <w:pPr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1400322</w:t>
            </w:r>
          </w:p>
        </w:tc>
        <w:tc>
          <w:tcPr>
            <w:tcW w:w="3079" w:type="dxa"/>
            <w:noWrap/>
            <w:hideMark/>
          </w:tcPr>
          <w:p w14:paraId="381FD363" w14:textId="77777777" w:rsidR="00120F25" w:rsidRPr="00120F25" w:rsidRDefault="00120F25" w:rsidP="00120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Ingreso propio 2022</w:t>
            </w:r>
          </w:p>
        </w:tc>
        <w:tc>
          <w:tcPr>
            <w:tcW w:w="1276" w:type="dxa"/>
            <w:noWrap/>
            <w:hideMark/>
          </w:tcPr>
          <w:p w14:paraId="37FD3D54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3,919,299.00</w:t>
            </w:r>
          </w:p>
        </w:tc>
        <w:tc>
          <w:tcPr>
            <w:tcW w:w="1240" w:type="dxa"/>
            <w:noWrap/>
            <w:hideMark/>
          </w:tcPr>
          <w:p w14:paraId="09269A7B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5,877,731.69</w:t>
            </w:r>
          </w:p>
        </w:tc>
        <w:tc>
          <w:tcPr>
            <w:tcW w:w="1240" w:type="dxa"/>
            <w:noWrap/>
            <w:hideMark/>
          </w:tcPr>
          <w:p w14:paraId="290127CB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4,364,199.88</w:t>
            </w:r>
          </w:p>
        </w:tc>
        <w:tc>
          <w:tcPr>
            <w:tcW w:w="1151" w:type="dxa"/>
            <w:noWrap/>
            <w:hideMark/>
          </w:tcPr>
          <w:p w14:paraId="2C6058AF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1,513,531.81</w:t>
            </w:r>
          </w:p>
        </w:tc>
        <w:tc>
          <w:tcPr>
            <w:tcW w:w="928" w:type="dxa"/>
            <w:noWrap/>
            <w:hideMark/>
          </w:tcPr>
          <w:p w14:paraId="0737056C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25.75%</w:t>
            </w:r>
          </w:p>
        </w:tc>
      </w:tr>
      <w:tr w:rsidR="00120F25" w:rsidRPr="00120F25" w14:paraId="1A1C9244" w14:textId="77777777" w:rsidTr="004C39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noWrap/>
            <w:hideMark/>
          </w:tcPr>
          <w:p w14:paraId="438EADD9" w14:textId="77777777" w:rsidR="00120F25" w:rsidRPr="00120F25" w:rsidRDefault="00120F25" w:rsidP="00120F2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Anual</w:t>
            </w:r>
          </w:p>
        </w:tc>
        <w:tc>
          <w:tcPr>
            <w:tcW w:w="1276" w:type="dxa"/>
            <w:noWrap/>
            <w:hideMark/>
          </w:tcPr>
          <w:p w14:paraId="53B03473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25,830,000.00</w:t>
            </w:r>
          </w:p>
        </w:tc>
        <w:tc>
          <w:tcPr>
            <w:tcW w:w="1240" w:type="dxa"/>
            <w:noWrap/>
            <w:hideMark/>
          </w:tcPr>
          <w:p w14:paraId="29D8F8B8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28,661,795.30</w:t>
            </w:r>
          </w:p>
        </w:tc>
        <w:tc>
          <w:tcPr>
            <w:tcW w:w="1240" w:type="dxa"/>
            <w:noWrap/>
            <w:hideMark/>
          </w:tcPr>
          <w:p w14:paraId="03CA75A0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26,491,641.80</w:t>
            </w:r>
          </w:p>
        </w:tc>
        <w:tc>
          <w:tcPr>
            <w:tcW w:w="1151" w:type="dxa"/>
            <w:noWrap/>
            <w:hideMark/>
          </w:tcPr>
          <w:p w14:paraId="090F393F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2,170,153.50</w:t>
            </w:r>
          </w:p>
        </w:tc>
        <w:tc>
          <w:tcPr>
            <w:tcW w:w="928" w:type="dxa"/>
            <w:noWrap/>
            <w:hideMark/>
          </w:tcPr>
          <w:p w14:paraId="2813C941" w14:textId="77777777" w:rsidR="00120F25" w:rsidRPr="00120F25" w:rsidRDefault="00120F25" w:rsidP="00120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20F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7.57%</w:t>
            </w:r>
          </w:p>
        </w:tc>
      </w:tr>
    </w:tbl>
    <w:p w14:paraId="290CA8DA" w14:textId="65B67D5F" w:rsidR="00120F25" w:rsidRDefault="00120F25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B74527" w14:textId="4E79AAAE" w:rsidR="006F5A6D" w:rsidRDefault="00807F9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incremento de los ingresos durante el ejercicio, proviene </w:t>
      </w:r>
      <w:r w:rsidR="00515B54">
        <w:rPr>
          <w:rFonts w:ascii="Arial" w:hAnsi="Arial" w:cs="Arial"/>
          <w:sz w:val="20"/>
          <w:szCs w:val="20"/>
        </w:rPr>
        <w:t xml:space="preserve">del remanente de recursos estatales </w:t>
      </w:r>
      <w:r w:rsidR="006F5A6D">
        <w:rPr>
          <w:rFonts w:ascii="Arial" w:hAnsi="Arial" w:cs="Arial"/>
          <w:sz w:val="20"/>
          <w:szCs w:val="20"/>
        </w:rPr>
        <w:t xml:space="preserve">recaudados en el </w:t>
      </w:r>
      <w:r w:rsidR="00515B54">
        <w:rPr>
          <w:rFonts w:ascii="Arial" w:hAnsi="Arial" w:cs="Arial"/>
          <w:sz w:val="20"/>
          <w:szCs w:val="20"/>
        </w:rPr>
        <w:t>año 2022</w:t>
      </w:r>
      <w:r w:rsidR="006F5A6D">
        <w:rPr>
          <w:rFonts w:ascii="Arial" w:hAnsi="Arial" w:cs="Arial"/>
          <w:sz w:val="20"/>
          <w:szCs w:val="20"/>
        </w:rPr>
        <w:t xml:space="preserve"> con el propósito de la ejecución de la obra en el Centro Gerontológico que opera el SDIF.</w:t>
      </w:r>
    </w:p>
    <w:p w14:paraId="019873F4" w14:textId="77777777" w:rsidR="00DD492D" w:rsidRDefault="00DD492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0EEE57" w14:textId="30807391" w:rsidR="00515B54" w:rsidRDefault="00DD492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tiene también el incremento </w:t>
      </w:r>
      <w:r w:rsidR="00E85588">
        <w:rPr>
          <w:rFonts w:ascii="Arial" w:hAnsi="Arial" w:cs="Arial"/>
          <w:sz w:val="20"/>
          <w:szCs w:val="20"/>
        </w:rPr>
        <w:t>en el presupuesto debido al comportamiento de las ventas de la Tienda DIF</w:t>
      </w:r>
      <w:r w:rsidR="006157DB">
        <w:rPr>
          <w:rFonts w:ascii="Arial" w:hAnsi="Arial" w:cs="Arial"/>
          <w:sz w:val="20"/>
          <w:szCs w:val="20"/>
        </w:rPr>
        <w:t xml:space="preserve">, cuyo destino principalmente </w:t>
      </w:r>
      <w:r w:rsidR="00AA761D">
        <w:rPr>
          <w:rFonts w:ascii="Arial" w:hAnsi="Arial" w:cs="Arial"/>
          <w:sz w:val="20"/>
          <w:szCs w:val="20"/>
        </w:rPr>
        <w:t>fue</w:t>
      </w:r>
      <w:r w:rsidR="006157DB">
        <w:rPr>
          <w:rFonts w:ascii="Arial" w:hAnsi="Arial" w:cs="Arial"/>
          <w:sz w:val="20"/>
          <w:szCs w:val="20"/>
        </w:rPr>
        <w:t xml:space="preserve"> la adquisición de una unidad vehicular, asimismo, se </w:t>
      </w:r>
      <w:r w:rsidR="00C45E15">
        <w:rPr>
          <w:rFonts w:ascii="Arial" w:hAnsi="Arial" w:cs="Arial"/>
          <w:sz w:val="20"/>
          <w:szCs w:val="20"/>
        </w:rPr>
        <w:t>considera</w:t>
      </w:r>
      <w:r w:rsidR="006157DB">
        <w:rPr>
          <w:rFonts w:ascii="Arial" w:hAnsi="Arial" w:cs="Arial"/>
          <w:sz w:val="20"/>
          <w:szCs w:val="20"/>
        </w:rPr>
        <w:t xml:space="preserve"> la aportación estatal para el programa “Privilegio Infantil”.</w:t>
      </w:r>
    </w:p>
    <w:p w14:paraId="1B51383D" w14:textId="77777777" w:rsidR="00E85588" w:rsidRDefault="00E8558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92D53" w14:textId="080BD797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Pasivo Circulante al Cierre del</w:t>
      </w:r>
      <w:r w:rsidR="00856DED" w:rsidRPr="00CE25ED">
        <w:rPr>
          <w:rFonts w:ascii="Arial" w:hAnsi="Arial" w:cs="Arial"/>
          <w:b/>
          <w:sz w:val="20"/>
          <w:szCs w:val="20"/>
        </w:rPr>
        <w:t xml:space="preserve"> Ejercicio </w:t>
      </w:r>
    </w:p>
    <w:p w14:paraId="15230449" w14:textId="7B682CD2" w:rsidR="000A47FE" w:rsidRDefault="000A47F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478D7" w14:textId="4643E993" w:rsidR="00856DED" w:rsidRDefault="00856D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8F8">
        <w:rPr>
          <w:rFonts w:ascii="Arial" w:hAnsi="Arial" w:cs="Arial"/>
          <w:sz w:val="20"/>
          <w:szCs w:val="20"/>
        </w:rPr>
        <w:t>Fundamentos Artículos 13 VII y 21 L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D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F</w:t>
      </w:r>
      <w:r w:rsidR="002E2052" w:rsidRPr="003948F8">
        <w:rPr>
          <w:rFonts w:ascii="Arial" w:hAnsi="Arial" w:cs="Arial"/>
          <w:sz w:val="20"/>
          <w:szCs w:val="20"/>
        </w:rPr>
        <w:t>.</w:t>
      </w:r>
    </w:p>
    <w:p w14:paraId="3664856B" w14:textId="495F2B9E" w:rsidR="001A2291" w:rsidRDefault="001A2291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92CC1" w14:textId="1C73F1DB" w:rsidR="001A2291" w:rsidRDefault="007F466B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66B">
        <w:rPr>
          <w:rFonts w:ascii="Arial" w:hAnsi="Arial" w:cs="Arial"/>
          <w:sz w:val="20"/>
          <w:szCs w:val="20"/>
        </w:rPr>
        <w:t>Al periodo que se informa, se tienen pasivos pendientes de pago, conforme lo señalado en la siguiente tabla:</w:t>
      </w:r>
    </w:p>
    <w:p w14:paraId="27120D9E" w14:textId="7AA11C91" w:rsidR="00264938" w:rsidRDefault="00264938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clara-nfasis1"/>
        <w:tblW w:w="9433" w:type="dxa"/>
        <w:tblLook w:val="04A0" w:firstRow="1" w:lastRow="0" w:firstColumn="1" w:lastColumn="0" w:noHBand="0" w:noVBand="1"/>
      </w:tblPr>
      <w:tblGrid>
        <w:gridCol w:w="1506"/>
        <w:gridCol w:w="3167"/>
        <w:gridCol w:w="1160"/>
        <w:gridCol w:w="1200"/>
        <w:gridCol w:w="1200"/>
        <w:gridCol w:w="1200"/>
      </w:tblGrid>
      <w:tr w:rsidR="00264938" w:rsidRPr="00264938" w14:paraId="19DF278F" w14:textId="77777777" w:rsidTr="0026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464C4BF" w14:textId="7810D521" w:rsidR="00264938" w:rsidRPr="00264938" w:rsidRDefault="00264938" w:rsidP="00264938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167" w:type="dxa"/>
            <w:noWrap/>
            <w:hideMark/>
          </w:tcPr>
          <w:p w14:paraId="68DC9ED6" w14:textId="38CD4BD9" w:rsidR="00264938" w:rsidRPr="00264938" w:rsidRDefault="00264938" w:rsidP="002649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 Cuenta</w:t>
            </w:r>
          </w:p>
        </w:tc>
        <w:tc>
          <w:tcPr>
            <w:tcW w:w="1160" w:type="dxa"/>
            <w:noWrap/>
            <w:hideMark/>
          </w:tcPr>
          <w:p w14:paraId="72C67492" w14:textId="36E39D39" w:rsidR="00264938" w:rsidRPr="00264938" w:rsidRDefault="00264938" w:rsidP="002649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1200" w:type="dxa"/>
            <w:noWrap/>
            <w:hideMark/>
          </w:tcPr>
          <w:p w14:paraId="4272F668" w14:textId="551361EE" w:rsidR="00264938" w:rsidRPr="00264938" w:rsidRDefault="00264938" w:rsidP="002649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4F63C6E0" w14:textId="63A0D993" w:rsidR="00264938" w:rsidRPr="00264938" w:rsidRDefault="00264938" w:rsidP="002649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41D16A13" w14:textId="2CC7CEBF" w:rsidR="00264938" w:rsidRPr="00264938" w:rsidRDefault="00264938" w:rsidP="002649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  <w:tr w:rsidR="00264938" w:rsidRPr="00264938" w14:paraId="0CBF4087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0FD4575" w14:textId="75AA40B8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2.1.1.1.0.0.2.2.1.0</w:t>
            </w:r>
          </w:p>
        </w:tc>
        <w:tc>
          <w:tcPr>
            <w:tcW w:w="3167" w:type="dxa"/>
            <w:noWrap/>
            <w:hideMark/>
          </w:tcPr>
          <w:p w14:paraId="2F5E6F4C" w14:textId="73608D64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capítulo 1000 al cierre 2022</w:t>
            </w:r>
          </w:p>
        </w:tc>
        <w:tc>
          <w:tcPr>
            <w:tcW w:w="1160" w:type="dxa"/>
            <w:noWrap/>
            <w:hideMark/>
          </w:tcPr>
          <w:p w14:paraId="54E08FA0" w14:textId="49ED7F39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45F2BEDF" w14:textId="44259E92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3,331.58</w:t>
            </w:r>
          </w:p>
        </w:tc>
        <w:tc>
          <w:tcPr>
            <w:tcW w:w="1200" w:type="dxa"/>
            <w:noWrap/>
            <w:hideMark/>
          </w:tcPr>
          <w:p w14:paraId="0C91515F" w14:textId="490FB878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6,663.16</w:t>
            </w:r>
          </w:p>
        </w:tc>
        <w:tc>
          <w:tcPr>
            <w:tcW w:w="1200" w:type="dxa"/>
            <w:noWrap/>
            <w:hideMark/>
          </w:tcPr>
          <w:p w14:paraId="3DEB739E" w14:textId="48A5926D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-3,331.58</w:t>
            </w:r>
          </w:p>
        </w:tc>
      </w:tr>
      <w:tr w:rsidR="00264938" w:rsidRPr="00264938" w14:paraId="2A11CE7C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01B4380" w14:textId="015B2E42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2.1.1.2.0.0.2.2.2.0</w:t>
            </w:r>
          </w:p>
        </w:tc>
        <w:tc>
          <w:tcPr>
            <w:tcW w:w="3167" w:type="dxa"/>
            <w:noWrap/>
            <w:hideMark/>
          </w:tcPr>
          <w:p w14:paraId="50F951C7" w14:textId="2976C3F3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capítulo 2000 al cierre 2022</w:t>
            </w:r>
          </w:p>
        </w:tc>
        <w:tc>
          <w:tcPr>
            <w:tcW w:w="1160" w:type="dxa"/>
            <w:noWrap/>
            <w:hideMark/>
          </w:tcPr>
          <w:p w14:paraId="07C315B0" w14:textId="751E8600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6223C4F8" w14:textId="51A21604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11485B9A" w14:textId="1E738F0B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2,106.21</w:t>
            </w:r>
          </w:p>
        </w:tc>
        <w:tc>
          <w:tcPr>
            <w:tcW w:w="1200" w:type="dxa"/>
            <w:noWrap/>
            <w:hideMark/>
          </w:tcPr>
          <w:p w14:paraId="1FEEDFF0" w14:textId="7EF2C06C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-2,106.21</w:t>
            </w:r>
          </w:p>
        </w:tc>
      </w:tr>
      <w:tr w:rsidR="00264938" w:rsidRPr="00264938" w14:paraId="44655F13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082B2BCA" w14:textId="6CC59C1F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2.1.1.2.0.0.2.2.3.0</w:t>
            </w:r>
          </w:p>
        </w:tc>
        <w:tc>
          <w:tcPr>
            <w:tcW w:w="3167" w:type="dxa"/>
            <w:noWrap/>
            <w:hideMark/>
          </w:tcPr>
          <w:p w14:paraId="7B3B9575" w14:textId="0536C039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capítulo 3000 al cierre 2022</w:t>
            </w:r>
          </w:p>
        </w:tc>
        <w:tc>
          <w:tcPr>
            <w:tcW w:w="1160" w:type="dxa"/>
            <w:noWrap/>
            <w:hideMark/>
          </w:tcPr>
          <w:p w14:paraId="37E1A8BC" w14:textId="6AB9B9A7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6712F841" w14:textId="0A6F8C89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5DCACC26" w14:textId="666E0B73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63,600.00</w:t>
            </w:r>
          </w:p>
        </w:tc>
        <w:tc>
          <w:tcPr>
            <w:tcW w:w="1200" w:type="dxa"/>
            <w:noWrap/>
            <w:hideMark/>
          </w:tcPr>
          <w:p w14:paraId="4806B548" w14:textId="513083F5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-63,600.00</w:t>
            </w:r>
          </w:p>
        </w:tc>
      </w:tr>
      <w:tr w:rsidR="00264938" w:rsidRPr="00264938" w14:paraId="7941FC2A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08CF0CA9" w14:textId="13CB2648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2.1.1.7.0.0.0.0.1.0</w:t>
            </w:r>
          </w:p>
        </w:tc>
        <w:tc>
          <w:tcPr>
            <w:tcW w:w="3167" w:type="dxa"/>
            <w:noWrap/>
            <w:hideMark/>
          </w:tcPr>
          <w:p w14:paraId="0A2553E3" w14:textId="5CC04219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retenciones por salarios</w:t>
            </w:r>
          </w:p>
        </w:tc>
        <w:tc>
          <w:tcPr>
            <w:tcW w:w="1160" w:type="dxa"/>
            <w:noWrap/>
            <w:hideMark/>
          </w:tcPr>
          <w:p w14:paraId="550FF08C" w14:textId="5346E2ED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-155,762.00</w:t>
            </w:r>
          </w:p>
        </w:tc>
        <w:tc>
          <w:tcPr>
            <w:tcW w:w="1200" w:type="dxa"/>
            <w:noWrap/>
            <w:hideMark/>
          </w:tcPr>
          <w:p w14:paraId="5F8C16D4" w14:textId="7E99494A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548,452.35</w:t>
            </w:r>
          </w:p>
        </w:tc>
        <w:tc>
          <w:tcPr>
            <w:tcW w:w="1200" w:type="dxa"/>
            <w:noWrap/>
            <w:hideMark/>
          </w:tcPr>
          <w:p w14:paraId="1C54B968" w14:textId="0B99EADA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534,145.35</w:t>
            </w:r>
          </w:p>
        </w:tc>
        <w:tc>
          <w:tcPr>
            <w:tcW w:w="1200" w:type="dxa"/>
            <w:noWrap/>
            <w:hideMark/>
          </w:tcPr>
          <w:p w14:paraId="79597DF4" w14:textId="084AAE04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-141,455.00</w:t>
            </w:r>
          </w:p>
        </w:tc>
      </w:tr>
      <w:tr w:rsidR="00264938" w:rsidRPr="00264938" w14:paraId="0889DF54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7373C147" w14:textId="60378CB1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2.1.1.7.0.0.0.0.2.0</w:t>
            </w:r>
          </w:p>
        </w:tc>
        <w:tc>
          <w:tcPr>
            <w:tcW w:w="3167" w:type="dxa"/>
            <w:noWrap/>
            <w:hideMark/>
          </w:tcPr>
          <w:p w14:paraId="3ACAC1E5" w14:textId="65DDC4EF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retenciones por servicios profesionales</w:t>
            </w:r>
          </w:p>
        </w:tc>
        <w:tc>
          <w:tcPr>
            <w:tcW w:w="1160" w:type="dxa"/>
            <w:noWrap/>
            <w:hideMark/>
          </w:tcPr>
          <w:p w14:paraId="0F7D46D6" w14:textId="6CC30782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-1,058.00</w:t>
            </w:r>
          </w:p>
        </w:tc>
        <w:tc>
          <w:tcPr>
            <w:tcW w:w="1200" w:type="dxa"/>
            <w:noWrap/>
            <w:hideMark/>
          </w:tcPr>
          <w:p w14:paraId="54132EA5" w14:textId="6104AC77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1,330.24</w:t>
            </w:r>
          </w:p>
        </w:tc>
        <w:tc>
          <w:tcPr>
            <w:tcW w:w="1200" w:type="dxa"/>
            <w:noWrap/>
            <w:hideMark/>
          </w:tcPr>
          <w:p w14:paraId="7EF164E7" w14:textId="7809B55F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525.10</w:t>
            </w:r>
          </w:p>
        </w:tc>
        <w:tc>
          <w:tcPr>
            <w:tcW w:w="1200" w:type="dxa"/>
            <w:noWrap/>
            <w:hideMark/>
          </w:tcPr>
          <w:p w14:paraId="0DB8E084" w14:textId="714CA8A5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-252.86</w:t>
            </w:r>
          </w:p>
        </w:tc>
      </w:tr>
      <w:tr w:rsidR="00264938" w:rsidRPr="00264938" w14:paraId="2C253F6F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C4955E9" w14:textId="758403CE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2.1.1.7.0.0.0.0.3.0</w:t>
            </w:r>
          </w:p>
        </w:tc>
        <w:tc>
          <w:tcPr>
            <w:tcW w:w="3167" w:type="dxa"/>
            <w:noWrap/>
            <w:hideMark/>
          </w:tcPr>
          <w:p w14:paraId="14718E8F" w14:textId="542928FA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retenciones por honorarios asimilados a salarios</w:t>
            </w:r>
          </w:p>
        </w:tc>
        <w:tc>
          <w:tcPr>
            <w:tcW w:w="1160" w:type="dxa"/>
            <w:noWrap/>
            <w:hideMark/>
          </w:tcPr>
          <w:p w14:paraId="65EC605E" w14:textId="77777777" w:rsid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-13,499.00</w:t>
            </w:r>
          </w:p>
          <w:p w14:paraId="1FC9ED9B" w14:textId="77777777" w:rsidR="00EF77E5" w:rsidRDefault="00EF77E5" w:rsidP="00EF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C56D740" w14:textId="77777777" w:rsidR="00EF77E5" w:rsidRDefault="00EF77E5" w:rsidP="00EF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376BF4A" w14:textId="20AD1DA4" w:rsidR="00EF77E5" w:rsidRPr="00EF77E5" w:rsidRDefault="00EF77E5" w:rsidP="00EF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14:paraId="5D9574B0" w14:textId="7DF702BA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148,805.00</w:t>
            </w:r>
          </w:p>
        </w:tc>
        <w:tc>
          <w:tcPr>
            <w:tcW w:w="1200" w:type="dxa"/>
            <w:noWrap/>
            <w:hideMark/>
          </w:tcPr>
          <w:p w14:paraId="49AA78FA" w14:textId="482C9945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161,353.00</w:t>
            </w:r>
          </w:p>
        </w:tc>
        <w:tc>
          <w:tcPr>
            <w:tcW w:w="1200" w:type="dxa"/>
            <w:noWrap/>
            <w:hideMark/>
          </w:tcPr>
          <w:p w14:paraId="2BEFDE05" w14:textId="23533FD8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-26,047.00</w:t>
            </w:r>
          </w:p>
        </w:tc>
      </w:tr>
      <w:tr w:rsidR="00264938" w:rsidRPr="00264938" w14:paraId="55C0879F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BFF4218" w14:textId="5E6E7427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2.1.1.7.0.0.0.0.5.0</w:t>
            </w:r>
          </w:p>
        </w:tc>
        <w:tc>
          <w:tcPr>
            <w:tcW w:w="3167" w:type="dxa"/>
            <w:noWrap/>
            <w:hideMark/>
          </w:tcPr>
          <w:p w14:paraId="7A97521B" w14:textId="442C9D0F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 cedular 2% sobre honorarios</w:t>
            </w:r>
          </w:p>
        </w:tc>
        <w:tc>
          <w:tcPr>
            <w:tcW w:w="1160" w:type="dxa"/>
            <w:noWrap/>
            <w:hideMark/>
          </w:tcPr>
          <w:p w14:paraId="1A35C947" w14:textId="75D76B30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-323.00</w:t>
            </w:r>
          </w:p>
        </w:tc>
        <w:tc>
          <w:tcPr>
            <w:tcW w:w="1200" w:type="dxa"/>
            <w:noWrap/>
            <w:hideMark/>
          </w:tcPr>
          <w:p w14:paraId="1C7758D3" w14:textId="5287BBEB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420.00</w:t>
            </w:r>
          </w:p>
        </w:tc>
        <w:tc>
          <w:tcPr>
            <w:tcW w:w="1200" w:type="dxa"/>
            <w:noWrap/>
            <w:hideMark/>
          </w:tcPr>
          <w:p w14:paraId="29975AB0" w14:textId="2550022E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160.69</w:t>
            </w:r>
          </w:p>
        </w:tc>
        <w:tc>
          <w:tcPr>
            <w:tcW w:w="1200" w:type="dxa"/>
            <w:noWrap/>
            <w:hideMark/>
          </w:tcPr>
          <w:p w14:paraId="2E7EE915" w14:textId="3583A7CF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-63.69</w:t>
            </w:r>
          </w:p>
        </w:tc>
      </w:tr>
      <w:tr w:rsidR="00264938" w:rsidRPr="00264938" w14:paraId="66EBA3DA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561FB30E" w14:textId="4A5D2EDA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2.1.1.7.0.0.0.0.6.0</w:t>
            </w:r>
          </w:p>
        </w:tc>
        <w:tc>
          <w:tcPr>
            <w:tcW w:w="3167" w:type="dxa"/>
            <w:noWrap/>
            <w:hideMark/>
          </w:tcPr>
          <w:p w14:paraId="19250731" w14:textId="42428749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impuestos sobre nómina 2%</w:t>
            </w:r>
          </w:p>
        </w:tc>
        <w:tc>
          <w:tcPr>
            <w:tcW w:w="1160" w:type="dxa"/>
            <w:noWrap/>
            <w:hideMark/>
          </w:tcPr>
          <w:p w14:paraId="3C9193E1" w14:textId="17094D10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-40,396.00</w:t>
            </w:r>
          </w:p>
        </w:tc>
        <w:tc>
          <w:tcPr>
            <w:tcW w:w="1200" w:type="dxa"/>
            <w:noWrap/>
            <w:hideMark/>
          </w:tcPr>
          <w:p w14:paraId="37E2F79B" w14:textId="185305D0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323,268.85</w:t>
            </w:r>
          </w:p>
        </w:tc>
        <w:tc>
          <w:tcPr>
            <w:tcW w:w="1200" w:type="dxa"/>
            <w:noWrap/>
            <w:hideMark/>
          </w:tcPr>
          <w:p w14:paraId="1941B91F" w14:textId="1AEFCD35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344,250.85</w:t>
            </w:r>
          </w:p>
        </w:tc>
        <w:tc>
          <w:tcPr>
            <w:tcW w:w="1200" w:type="dxa"/>
            <w:noWrap/>
            <w:hideMark/>
          </w:tcPr>
          <w:p w14:paraId="09679C81" w14:textId="24E3A925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-61,378.00</w:t>
            </w:r>
          </w:p>
        </w:tc>
      </w:tr>
      <w:tr w:rsidR="00264938" w:rsidRPr="00264938" w14:paraId="27950DD5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78F9DBBA" w14:textId="47FC3ADF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2.1.1.7.0.0.0.0.9.0</w:t>
            </w:r>
          </w:p>
        </w:tc>
        <w:tc>
          <w:tcPr>
            <w:tcW w:w="3167" w:type="dxa"/>
            <w:noWrap/>
            <w:hideMark/>
          </w:tcPr>
          <w:p w14:paraId="246F603D" w14:textId="0EECF8BA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RESICO</w:t>
            </w:r>
          </w:p>
        </w:tc>
        <w:tc>
          <w:tcPr>
            <w:tcW w:w="1160" w:type="dxa"/>
            <w:noWrap/>
            <w:hideMark/>
          </w:tcPr>
          <w:p w14:paraId="5FCBCCC4" w14:textId="72B4BDD1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287B556B" w14:textId="119229AF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3,544.76</w:t>
            </w:r>
          </w:p>
        </w:tc>
        <w:tc>
          <w:tcPr>
            <w:tcW w:w="1200" w:type="dxa"/>
            <w:noWrap/>
            <w:hideMark/>
          </w:tcPr>
          <w:p w14:paraId="1E88B806" w14:textId="0E254355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5,388.21</w:t>
            </w:r>
          </w:p>
        </w:tc>
        <w:tc>
          <w:tcPr>
            <w:tcW w:w="1200" w:type="dxa"/>
            <w:noWrap/>
            <w:hideMark/>
          </w:tcPr>
          <w:p w14:paraId="7E0882F6" w14:textId="55EFD160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-1,843.45</w:t>
            </w:r>
          </w:p>
        </w:tc>
      </w:tr>
      <w:tr w:rsidR="00264938" w:rsidRPr="00264938" w14:paraId="26E22A7B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1C405E9A" w14:textId="74EBFEE2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2.1.1.7.0.0.0.1.0.0</w:t>
            </w:r>
          </w:p>
        </w:tc>
        <w:tc>
          <w:tcPr>
            <w:tcW w:w="3167" w:type="dxa"/>
            <w:noWrap/>
            <w:hideMark/>
          </w:tcPr>
          <w:p w14:paraId="6C79F297" w14:textId="4D6558E8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 cedular RESICO</w:t>
            </w:r>
          </w:p>
        </w:tc>
        <w:tc>
          <w:tcPr>
            <w:tcW w:w="1160" w:type="dxa"/>
            <w:noWrap/>
            <w:hideMark/>
          </w:tcPr>
          <w:p w14:paraId="1D5C70FC" w14:textId="4B885194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7E673D33" w14:textId="0B2C4AF1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59A3BC92" w14:textId="680FD289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8,046.17</w:t>
            </w:r>
          </w:p>
        </w:tc>
        <w:tc>
          <w:tcPr>
            <w:tcW w:w="1200" w:type="dxa"/>
            <w:noWrap/>
            <w:hideMark/>
          </w:tcPr>
          <w:p w14:paraId="79860E5E" w14:textId="7B6DEDD9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-8,046.17</w:t>
            </w:r>
          </w:p>
        </w:tc>
      </w:tr>
      <w:tr w:rsidR="00264938" w:rsidRPr="00264938" w14:paraId="121B844D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D846DC0" w14:textId="33EE72E7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2.1.1.7.0.0.1.0.1.0</w:t>
            </w:r>
          </w:p>
        </w:tc>
        <w:tc>
          <w:tcPr>
            <w:tcW w:w="3167" w:type="dxa"/>
            <w:noWrap/>
            <w:hideMark/>
          </w:tcPr>
          <w:p w14:paraId="6C733A03" w14:textId="56C11BAB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IMSS</w:t>
            </w:r>
          </w:p>
        </w:tc>
        <w:tc>
          <w:tcPr>
            <w:tcW w:w="1160" w:type="dxa"/>
            <w:noWrap/>
            <w:hideMark/>
          </w:tcPr>
          <w:p w14:paraId="1B856813" w14:textId="0D1550B0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-72,615.66</w:t>
            </w:r>
          </w:p>
        </w:tc>
        <w:tc>
          <w:tcPr>
            <w:tcW w:w="1200" w:type="dxa"/>
            <w:noWrap/>
            <w:hideMark/>
          </w:tcPr>
          <w:p w14:paraId="67F6526E" w14:textId="7728C876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961,086.09</w:t>
            </w:r>
          </w:p>
        </w:tc>
        <w:tc>
          <w:tcPr>
            <w:tcW w:w="1200" w:type="dxa"/>
            <w:noWrap/>
            <w:hideMark/>
          </w:tcPr>
          <w:p w14:paraId="6FC52245" w14:textId="64525114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971,619.99</w:t>
            </w:r>
          </w:p>
        </w:tc>
        <w:tc>
          <w:tcPr>
            <w:tcW w:w="1200" w:type="dxa"/>
            <w:noWrap/>
            <w:hideMark/>
          </w:tcPr>
          <w:p w14:paraId="78C0A8E0" w14:textId="43DEC6D3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-83,149.56</w:t>
            </w:r>
          </w:p>
        </w:tc>
      </w:tr>
      <w:tr w:rsidR="00264938" w:rsidRPr="00264938" w14:paraId="0E495C8B" w14:textId="77777777" w:rsidTr="00264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4AF393E" w14:textId="10E0F96E" w:rsidR="00264938" w:rsidRPr="00264938" w:rsidRDefault="00264938" w:rsidP="00264938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2.1.1.7.0.0.1.0.2.0</w:t>
            </w:r>
          </w:p>
        </w:tc>
        <w:tc>
          <w:tcPr>
            <w:tcW w:w="3167" w:type="dxa"/>
            <w:noWrap/>
            <w:hideMark/>
          </w:tcPr>
          <w:p w14:paraId="1133CD01" w14:textId="2B538CA6" w:rsidR="00264938" w:rsidRPr="00264938" w:rsidRDefault="00264938" w:rsidP="002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RCV</w:t>
            </w:r>
          </w:p>
        </w:tc>
        <w:tc>
          <w:tcPr>
            <w:tcW w:w="1160" w:type="dxa"/>
            <w:noWrap/>
            <w:hideMark/>
          </w:tcPr>
          <w:p w14:paraId="0B4C4BCD" w14:textId="1A0D93EE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-56,692.19</w:t>
            </w:r>
          </w:p>
        </w:tc>
        <w:tc>
          <w:tcPr>
            <w:tcW w:w="1200" w:type="dxa"/>
            <w:noWrap/>
            <w:hideMark/>
          </w:tcPr>
          <w:p w14:paraId="09049FF0" w14:textId="5304A2BC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430,126.92</w:t>
            </w:r>
          </w:p>
        </w:tc>
        <w:tc>
          <w:tcPr>
            <w:tcW w:w="1200" w:type="dxa"/>
            <w:noWrap/>
            <w:hideMark/>
          </w:tcPr>
          <w:p w14:paraId="117870F7" w14:textId="09C3DD40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438,240.18</w:t>
            </w:r>
          </w:p>
        </w:tc>
        <w:tc>
          <w:tcPr>
            <w:tcW w:w="1200" w:type="dxa"/>
            <w:noWrap/>
            <w:hideMark/>
          </w:tcPr>
          <w:p w14:paraId="54925EBD" w14:textId="69B91208" w:rsidR="00264938" w:rsidRPr="00264938" w:rsidRDefault="00264938" w:rsidP="00264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64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-64,805.45</w:t>
            </w:r>
          </w:p>
        </w:tc>
      </w:tr>
    </w:tbl>
    <w:p w14:paraId="11D1F365" w14:textId="3E7321F7" w:rsidR="00264938" w:rsidRDefault="00264938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B6969" w14:textId="44DA30B8" w:rsidR="00264938" w:rsidRDefault="003828B3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pasivos </w:t>
      </w:r>
      <w:r w:rsidR="00264938">
        <w:rPr>
          <w:rFonts w:ascii="Arial" w:hAnsi="Arial" w:cs="Arial"/>
          <w:sz w:val="20"/>
          <w:szCs w:val="20"/>
        </w:rPr>
        <w:t>al cierre del ejercicio se liquidarán en el mes de enero de 2023 al igual que las contribuciones y las retenciones de nómina.</w:t>
      </w:r>
    </w:p>
    <w:p w14:paraId="01452044" w14:textId="77777777" w:rsidR="003828B3" w:rsidRDefault="003828B3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4FA04" w14:textId="043D9505" w:rsidR="00E45078" w:rsidRPr="00CE25ED" w:rsidRDefault="00DF74EA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Deuda Pública y Obligaciones</w:t>
      </w:r>
    </w:p>
    <w:p w14:paraId="3D5125A3" w14:textId="77777777" w:rsidR="00FA52ED" w:rsidRDefault="00FA52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4E5A6" w14:textId="68270E01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25 L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D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F</w:t>
      </w:r>
      <w:r w:rsidR="002E2052">
        <w:rPr>
          <w:rFonts w:ascii="Arial" w:hAnsi="Arial" w:cs="Arial"/>
          <w:sz w:val="20"/>
          <w:szCs w:val="20"/>
        </w:rPr>
        <w:t>.</w:t>
      </w:r>
    </w:p>
    <w:p w14:paraId="7C8BE920" w14:textId="77777777" w:rsidR="009B5B6E" w:rsidRDefault="009B5B6E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D161F" w14:textId="46BD78E6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DIF, no tiene deuda </w:t>
      </w:r>
      <w:r w:rsidR="002D10FC">
        <w:rPr>
          <w:rFonts w:ascii="Arial" w:hAnsi="Arial" w:cs="Arial"/>
          <w:sz w:val="20"/>
          <w:szCs w:val="20"/>
        </w:rPr>
        <w:t xml:space="preserve">pública </w:t>
      </w:r>
      <w:r w:rsidRPr="00CE25ED">
        <w:rPr>
          <w:rFonts w:ascii="Arial" w:hAnsi="Arial" w:cs="Arial"/>
          <w:sz w:val="20"/>
          <w:szCs w:val="20"/>
        </w:rPr>
        <w:t>contratada.</w:t>
      </w:r>
    </w:p>
    <w:p w14:paraId="4EF5EC59" w14:textId="77777777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0DFC2" w14:textId="0A794B77" w:rsidR="007C7ADC" w:rsidRPr="00CE25ED" w:rsidRDefault="007C7ADC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Obligaciones a Corto Plazo</w:t>
      </w:r>
    </w:p>
    <w:p w14:paraId="7D762333" w14:textId="77777777" w:rsidR="00FA52ED" w:rsidRDefault="00FA52ED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6398AD5" w14:textId="1B9D5297" w:rsidR="00DF74EA" w:rsidRPr="00CE25ED" w:rsidRDefault="00DF74EA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661F2980" w14:textId="0143D5CC" w:rsidR="00DF74EA" w:rsidRPr="00CE25ED" w:rsidRDefault="00DF74EA" w:rsidP="00FA5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La información detallada de las Obligaciones a corto plazo contraídas en los términos del capítulo Tercero Capítulo I de la Ley de </w:t>
      </w:r>
      <w:r w:rsidR="007C7ADC" w:rsidRPr="00CE25ED">
        <w:rPr>
          <w:rFonts w:ascii="Arial" w:hAnsi="Arial" w:cs="Arial"/>
          <w:sz w:val="20"/>
          <w:szCs w:val="20"/>
        </w:rPr>
        <w:t>Disciplina</w:t>
      </w:r>
      <w:r w:rsidRPr="00CE25ED">
        <w:rPr>
          <w:rFonts w:ascii="Arial" w:hAnsi="Arial" w:cs="Arial"/>
          <w:sz w:val="20"/>
          <w:szCs w:val="20"/>
        </w:rPr>
        <w:t xml:space="preserve"> Financi</w:t>
      </w:r>
      <w:r w:rsidR="007C7ADC" w:rsidRPr="00CE25ED">
        <w:rPr>
          <w:rFonts w:ascii="Arial" w:hAnsi="Arial" w:cs="Arial"/>
          <w:sz w:val="20"/>
          <w:szCs w:val="20"/>
        </w:rPr>
        <w:t>era de las Entidades y Municipios, incluyendo por lo menos importe, tasas, plazo, comisiones y cualquier costo relacionado, así mismo se deberá incluir la tasa efectiva.</w:t>
      </w:r>
    </w:p>
    <w:p w14:paraId="56430194" w14:textId="77777777" w:rsidR="00FA52ED" w:rsidRDefault="00FA52ED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226D9B20" w14:textId="38314C25" w:rsidR="007C7ADC" w:rsidRPr="00CE25ED" w:rsidRDefault="007C7ADC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31 LDF.</w:t>
      </w:r>
    </w:p>
    <w:p w14:paraId="72F0A854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080CA4" w14:textId="3CCFEF43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El Sistema DIF, no tiene comisiones, accesorios u otro concepto que incremente el importe de las obligaciones a corto plazo.</w:t>
      </w:r>
    </w:p>
    <w:p w14:paraId="6C5BD011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333AD" w14:textId="77777777" w:rsidR="00611C32" w:rsidRPr="00CE25ED" w:rsidRDefault="00611C32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Evaluación de Cumplimiento</w:t>
      </w:r>
    </w:p>
    <w:p w14:paraId="6DDCC292" w14:textId="23F709DD" w:rsidR="003573FC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574239FA" w14:textId="52A9B242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8820A" w14:textId="0C8BA79B" w:rsidR="00611C32" w:rsidRPr="00CE25ED" w:rsidRDefault="00611C32" w:rsidP="00FA52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La información relativa al cumplimiento de los convenios de Deuda Garantizada</w:t>
      </w:r>
    </w:p>
    <w:p w14:paraId="64A9921D" w14:textId="6A7E8237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12567471" w14:textId="345D111B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40 LDF</w:t>
      </w:r>
    </w:p>
    <w:p w14:paraId="7165FC17" w14:textId="1DA9B799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6FEFB" w14:textId="4D0DC8F2" w:rsidR="00611C32" w:rsidRPr="00CE25ED" w:rsidRDefault="00CF6269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DIF, no </w:t>
      </w:r>
      <w:r w:rsidR="000C57C2">
        <w:rPr>
          <w:rFonts w:ascii="Arial" w:hAnsi="Arial" w:cs="Arial"/>
          <w:sz w:val="20"/>
          <w:szCs w:val="20"/>
        </w:rPr>
        <w:t>registra al periodo que se informa,</w:t>
      </w:r>
      <w:r w:rsidRPr="00CE25ED">
        <w:rPr>
          <w:rFonts w:ascii="Arial" w:hAnsi="Arial" w:cs="Arial"/>
          <w:sz w:val="20"/>
          <w:szCs w:val="20"/>
        </w:rPr>
        <w:t xml:space="preserve"> deuda </w:t>
      </w:r>
      <w:r w:rsidR="004E28CF">
        <w:rPr>
          <w:rFonts w:ascii="Arial" w:hAnsi="Arial" w:cs="Arial"/>
          <w:sz w:val="20"/>
          <w:szCs w:val="20"/>
        </w:rPr>
        <w:t>g</w:t>
      </w:r>
      <w:r w:rsidRPr="00CE25ED">
        <w:rPr>
          <w:rFonts w:ascii="Arial" w:hAnsi="Arial" w:cs="Arial"/>
          <w:sz w:val="20"/>
          <w:szCs w:val="20"/>
        </w:rPr>
        <w:t>arantizada.</w:t>
      </w:r>
    </w:p>
    <w:p w14:paraId="5ABD9200" w14:textId="6D1DBFEB" w:rsidR="00CF6269" w:rsidRDefault="00CF6269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sdt>
      <w:sdtPr>
        <w:rPr>
          <w:color w:val="808080" w:themeColor="background1" w:themeShade="80"/>
          <w:sz w:val="20"/>
          <w:szCs w:val="20"/>
        </w:rPr>
        <w:id w:val="6098600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</w:rPr>
      </w:sdtEndPr>
      <w:sdtContent>
        <w:p w14:paraId="7623E1CF" w14:textId="77777777" w:rsidR="00A5351E" w:rsidRDefault="00761A12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4645EE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“Bajo protesta de decir verdad declaramos que los estados financieros y sus notas son razonablemente correctos y son responsabilidad del emisor”</w:t>
          </w:r>
        </w:p>
        <w:p w14:paraId="1D38682C" w14:textId="77777777" w:rsidR="00A5351E" w:rsidRDefault="00A5351E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  <w:p w14:paraId="15A84E90" w14:textId="599AA853" w:rsidR="00761A12" w:rsidRPr="004645EE" w:rsidRDefault="006F7395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sdtContent>
    </w:sdt>
    <w:p w14:paraId="74DAB10B" w14:textId="69555F64" w:rsidR="00761A12" w:rsidRDefault="00761A12" w:rsidP="00761A12">
      <w:pPr>
        <w:pStyle w:val="Piedepgina"/>
        <w:jc w:val="center"/>
        <w:rPr>
          <w:sz w:val="20"/>
          <w:szCs w:val="20"/>
        </w:rPr>
      </w:pPr>
    </w:p>
    <w:p w14:paraId="0B39629D" w14:textId="77777777" w:rsidR="009444AB" w:rsidRPr="00761A12" w:rsidRDefault="009444AB" w:rsidP="00761A12">
      <w:pPr>
        <w:pStyle w:val="Piedepgina"/>
        <w:jc w:val="center"/>
        <w:rPr>
          <w:sz w:val="20"/>
          <w:szCs w:val="20"/>
        </w:rPr>
      </w:pPr>
    </w:p>
    <w:p w14:paraId="15FC19CD" w14:textId="77777777" w:rsidR="00840491" w:rsidRPr="00761A12" w:rsidRDefault="00840491" w:rsidP="00995E60">
      <w:pPr>
        <w:overflowPunct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0D8611" w14:textId="43DCEB54" w:rsidR="00D14791" w:rsidRDefault="00D14791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CD55A" w14:textId="241B1582" w:rsidR="00D14791" w:rsidRDefault="00CB2181" w:rsidP="009444AB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3E14F22B" wp14:editId="443A16BB">
            <wp:extent cx="6470650" cy="57531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83" cy="58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5A4B2" w14:textId="2900D624" w:rsidR="003573FC" w:rsidRPr="00CE25ED" w:rsidRDefault="003573FC" w:rsidP="00FA52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573FC" w:rsidRPr="00CE25ED" w:rsidSect="00EF77E5">
      <w:headerReference w:type="default" r:id="rId11"/>
      <w:footerReference w:type="default" r:id="rId12"/>
      <w:pgSz w:w="12240" w:h="15840"/>
      <w:pgMar w:top="1701" w:right="1418" w:bottom="284" w:left="1418" w:header="4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A82F" w14:textId="77777777" w:rsidR="006F7395" w:rsidRDefault="006F7395" w:rsidP="0012031E">
      <w:pPr>
        <w:spacing w:after="0" w:line="240" w:lineRule="auto"/>
      </w:pPr>
      <w:r>
        <w:separator/>
      </w:r>
    </w:p>
  </w:endnote>
  <w:endnote w:type="continuationSeparator" w:id="0">
    <w:p w14:paraId="530A7C6C" w14:textId="77777777" w:rsidR="006F7395" w:rsidRDefault="006F739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50F" w14:textId="77777777" w:rsidR="00EF77E5" w:rsidRDefault="00EF77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066C870" w14:textId="77777777" w:rsidR="00EF77E5" w:rsidRDefault="00EF7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772C" w14:textId="77777777" w:rsidR="006F7395" w:rsidRDefault="006F7395" w:rsidP="0012031E">
      <w:pPr>
        <w:spacing w:after="0" w:line="240" w:lineRule="auto"/>
      </w:pPr>
      <w:r>
        <w:separator/>
      </w:r>
    </w:p>
  </w:footnote>
  <w:footnote w:type="continuationSeparator" w:id="0">
    <w:p w14:paraId="67134AB3" w14:textId="77777777" w:rsidR="006F7395" w:rsidRDefault="006F739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DE77" w14:textId="054CDC62" w:rsidR="000926D7" w:rsidRPr="00C3049A" w:rsidRDefault="00CD7C6C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noProof/>
        <w:color w:val="44546A" w:themeColor="text2"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64155897" wp14:editId="397D189D">
          <wp:simplePos x="0" y="0"/>
          <wp:positionH relativeFrom="column">
            <wp:posOffset>-517525</wp:posOffset>
          </wp:positionH>
          <wp:positionV relativeFrom="paragraph">
            <wp:posOffset>-81280</wp:posOffset>
          </wp:positionV>
          <wp:extent cx="810895" cy="762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6D7" w:rsidRPr="00C3049A">
      <w:rPr>
        <w:rFonts w:ascii="Arial Black" w:hAnsi="Arial Black"/>
        <w:color w:val="44546A" w:themeColor="text2"/>
        <w:sz w:val="20"/>
      </w:rPr>
      <w:t xml:space="preserve">Sistema para el Desarrollo Integral de la Familia del Municipio de Guanajuato </w:t>
    </w:r>
  </w:p>
  <w:p w14:paraId="11E05872" w14:textId="120FDAE2" w:rsidR="000926D7" w:rsidRDefault="000926D7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Notas</w:t>
    </w:r>
    <w:r w:rsidRPr="00C3049A">
      <w:rPr>
        <w:rFonts w:ascii="Arial Black" w:hAnsi="Arial Black"/>
        <w:color w:val="44546A" w:themeColor="text2"/>
        <w:sz w:val="20"/>
      </w:rPr>
      <w:t xml:space="preserve"> de </w:t>
    </w:r>
    <w:r>
      <w:rPr>
        <w:rFonts w:ascii="Arial Black" w:hAnsi="Arial Black"/>
        <w:color w:val="44546A" w:themeColor="text2"/>
        <w:sz w:val="20"/>
      </w:rPr>
      <w:t>Disciplina Financiera</w:t>
    </w:r>
  </w:p>
  <w:p w14:paraId="05C1276B" w14:textId="201A002F" w:rsidR="0012031E" w:rsidRDefault="00BB7A2A" w:rsidP="00997B46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De</w:t>
    </w:r>
    <w:r w:rsidR="0006263C">
      <w:rPr>
        <w:rFonts w:ascii="Arial Black" w:hAnsi="Arial Black"/>
        <w:color w:val="44546A" w:themeColor="text2"/>
        <w:sz w:val="20"/>
      </w:rPr>
      <w:t xml:space="preserve">l 1 de </w:t>
    </w:r>
    <w:r>
      <w:rPr>
        <w:rFonts w:ascii="Arial Black" w:hAnsi="Arial Black"/>
        <w:color w:val="44546A" w:themeColor="text2"/>
        <w:sz w:val="20"/>
      </w:rPr>
      <w:t>enero a</w:t>
    </w:r>
    <w:r w:rsidR="0006263C">
      <w:rPr>
        <w:rFonts w:ascii="Arial Black" w:hAnsi="Arial Black"/>
        <w:color w:val="44546A" w:themeColor="text2"/>
        <w:sz w:val="20"/>
      </w:rPr>
      <w:t>l 3</w:t>
    </w:r>
    <w:r w:rsidR="0012712D">
      <w:rPr>
        <w:rFonts w:ascii="Arial Black" w:hAnsi="Arial Black"/>
        <w:color w:val="44546A" w:themeColor="text2"/>
        <w:sz w:val="20"/>
      </w:rPr>
      <w:t>1</w:t>
    </w:r>
    <w:r w:rsidR="0006263C">
      <w:rPr>
        <w:rFonts w:ascii="Arial Black" w:hAnsi="Arial Black"/>
        <w:color w:val="44546A" w:themeColor="text2"/>
        <w:sz w:val="20"/>
      </w:rPr>
      <w:t xml:space="preserve"> de</w:t>
    </w:r>
    <w:r>
      <w:rPr>
        <w:rFonts w:ascii="Arial Black" w:hAnsi="Arial Black"/>
        <w:color w:val="44546A" w:themeColor="text2"/>
        <w:sz w:val="20"/>
      </w:rPr>
      <w:t xml:space="preserve"> </w:t>
    </w:r>
    <w:r w:rsidR="0012712D">
      <w:rPr>
        <w:rFonts w:ascii="Arial Black" w:hAnsi="Arial Black"/>
        <w:color w:val="44546A" w:themeColor="text2"/>
        <w:sz w:val="20"/>
      </w:rPr>
      <w:t>diciembre</w:t>
    </w:r>
    <w:r>
      <w:rPr>
        <w:rFonts w:ascii="Arial Black" w:hAnsi="Arial Black"/>
        <w:color w:val="44546A" w:themeColor="text2"/>
        <w:sz w:val="20"/>
      </w:rPr>
      <w:t xml:space="preserve"> de 2022</w:t>
    </w:r>
  </w:p>
  <w:p w14:paraId="6CE13AD0" w14:textId="77777777" w:rsidR="008F0E35" w:rsidRPr="000926D7" w:rsidRDefault="008F0E35" w:rsidP="00997B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E0F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1D6"/>
    <w:multiLevelType w:val="hybridMultilevel"/>
    <w:tmpl w:val="EC201F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214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D134E0"/>
    <w:multiLevelType w:val="hybridMultilevel"/>
    <w:tmpl w:val="8D28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126C"/>
    <w:multiLevelType w:val="hybridMultilevel"/>
    <w:tmpl w:val="DF184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407"/>
    <w:multiLevelType w:val="hybridMultilevel"/>
    <w:tmpl w:val="4134F95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3B977A8"/>
    <w:multiLevelType w:val="hybridMultilevel"/>
    <w:tmpl w:val="B4F6C962"/>
    <w:lvl w:ilvl="0" w:tplc="4B16D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31BE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21437B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826"/>
    <w:multiLevelType w:val="hybridMultilevel"/>
    <w:tmpl w:val="321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1355"/>
    <w:rsid w:val="0006263C"/>
    <w:rsid w:val="000926D7"/>
    <w:rsid w:val="00094C49"/>
    <w:rsid w:val="000A47FE"/>
    <w:rsid w:val="000C57C2"/>
    <w:rsid w:val="000D7933"/>
    <w:rsid w:val="000F6CBC"/>
    <w:rsid w:val="00100A9E"/>
    <w:rsid w:val="0010707D"/>
    <w:rsid w:val="001145A7"/>
    <w:rsid w:val="0012031E"/>
    <w:rsid w:val="00120F25"/>
    <w:rsid w:val="001245B3"/>
    <w:rsid w:val="0012712D"/>
    <w:rsid w:val="00155EEF"/>
    <w:rsid w:val="00167006"/>
    <w:rsid w:val="00171038"/>
    <w:rsid w:val="001A2291"/>
    <w:rsid w:val="001A7483"/>
    <w:rsid w:val="001B73CF"/>
    <w:rsid w:val="00201B0D"/>
    <w:rsid w:val="002053EA"/>
    <w:rsid w:val="00207081"/>
    <w:rsid w:val="002137F5"/>
    <w:rsid w:val="00230D85"/>
    <w:rsid w:val="00263447"/>
    <w:rsid w:val="00264938"/>
    <w:rsid w:val="00276B58"/>
    <w:rsid w:val="002C30F6"/>
    <w:rsid w:val="002C7B07"/>
    <w:rsid w:val="002C7E5C"/>
    <w:rsid w:val="002D10FC"/>
    <w:rsid w:val="002E2052"/>
    <w:rsid w:val="003045CB"/>
    <w:rsid w:val="00315F44"/>
    <w:rsid w:val="003425F3"/>
    <w:rsid w:val="0034537E"/>
    <w:rsid w:val="00352679"/>
    <w:rsid w:val="003573FC"/>
    <w:rsid w:val="00373388"/>
    <w:rsid w:val="003813D7"/>
    <w:rsid w:val="003828B3"/>
    <w:rsid w:val="00386424"/>
    <w:rsid w:val="003948F8"/>
    <w:rsid w:val="003B0AEF"/>
    <w:rsid w:val="003E6C13"/>
    <w:rsid w:val="003F2B3D"/>
    <w:rsid w:val="00401689"/>
    <w:rsid w:val="004031B1"/>
    <w:rsid w:val="00420371"/>
    <w:rsid w:val="00431F05"/>
    <w:rsid w:val="004645EE"/>
    <w:rsid w:val="0047606D"/>
    <w:rsid w:val="00477387"/>
    <w:rsid w:val="004C23EA"/>
    <w:rsid w:val="004C39C5"/>
    <w:rsid w:val="004D4489"/>
    <w:rsid w:val="004E28CF"/>
    <w:rsid w:val="004E2DEE"/>
    <w:rsid w:val="005120B2"/>
    <w:rsid w:val="00515B54"/>
    <w:rsid w:val="00575D63"/>
    <w:rsid w:val="0058031B"/>
    <w:rsid w:val="005B5EB3"/>
    <w:rsid w:val="005F493B"/>
    <w:rsid w:val="00610212"/>
    <w:rsid w:val="00611C32"/>
    <w:rsid w:val="00615575"/>
    <w:rsid w:val="006157DB"/>
    <w:rsid w:val="006333BD"/>
    <w:rsid w:val="00635194"/>
    <w:rsid w:val="0063779F"/>
    <w:rsid w:val="0063797E"/>
    <w:rsid w:val="006513B9"/>
    <w:rsid w:val="00674117"/>
    <w:rsid w:val="00674850"/>
    <w:rsid w:val="00687DD9"/>
    <w:rsid w:val="006921B3"/>
    <w:rsid w:val="006939F2"/>
    <w:rsid w:val="0069511C"/>
    <w:rsid w:val="00696A75"/>
    <w:rsid w:val="006C676E"/>
    <w:rsid w:val="006F5A6D"/>
    <w:rsid w:val="006F7395"/>
    <w:rsid w:val="00701572"/>
    <w:rsid w:val="007238F4"/>
    <w:rsid w:val="007479BD"/>
    <w:rsid w:val="00751101"/>
    <w:rsid w:val="00761A12"/>
    <w:rsid w:val="00761FE2"/>
    <w:rsid w:val="007B77C2"/>
    <w:rsid w:val="007C425B"/>
    <w:rsid w:val="007C6511"/>
    <w:rsid w:val="007C6E17"/>
    <w:rsid w:val="007C7ADC"/>
    <w:rsid w:val="007D1EC2"/>
    <w:rsid w:val="007E52E7"/>
    <w:rsid w:val="007F466B"/>
    <w:rsid w:val="00807F99"/>
    <w:rsid w:val="008171E0"/>
    <w:rsid w:val="00827C5B"/>
    <w:rsid w:val="00840491"/>
    <w:rsid w:val="00846923"/>
    <w:rsid w:val="00856DED"/>
    <w:rsid w:val="00875F17"/>
    <w:rsid w:val="008953AD"/>
    <w:rsid w:val="008B6CC4"/>
    <w:rsid w:val="008C7F0B"/>
    <w:rsid w:val="008E5A2A"/>
    <w:rsid w:val="008E65CE"/>
    <w:rsid w:val="008F0E35"/>
    <w:rsid w:val="0093771A"/>
    <w:rsid w:val="00940570"/>
    <w:rsid w:val="009444AB"/>
    <w:rsid w:val="00990A12"/>
    <w:rsid w:val="00995E60"/>
    <w:rsid w:val="00996342"/>
    <w:rsid w:val="00996634"/>
    <w:rsid w:val="009967AB"/>
    <w:rsid w:val="00997B46"/>
    <w:rsid w:val="009A60DB"/>
    <w:rsid w:val="009B52E6"/>
    <w:rsid w:val="009B5B6E"/>
    <w:rsid w:val="009C310A"/>
    <w:rsid w:val="009C4476"/>
    <w:rsid w:val="009E2C7B"/>
    <w:rsid w:val="009F1D03"/>
    <w:rsid w:val="00A30A36"/>
    <w:rsid w:val="00A36AE2"/>
    <w:rsid w:val="00A5351E"/>
    <w:rsid w:val="00A5420A"/>
    <w:rsid w:val="00A650B2"/>
    <w:rsid w:val="00A827B2"/>
    <w:rsid w:val="00AA761D"/>
    <w:rsid w:val="00AD1708"/>
    <w:rsid w:val="00AD6BA1"/>
    <w:rsid w:val="00AD7F00"/>
    <w:rsid w:val="00AE2E14"/>
    <w:rsid w:val="00AF5CAD"/>
    <w:rsid w:val="00B402A9"/>
    <w:rsid w:val="00B45A4B"/>
    <w:rsid w:val="00B61D9F"/>
    <w:rsid w:val="00B64D5C"/>
    <w:rsid w:val="00B715E6"/>
    <w:rsid w:val="00B827FE"/>
    <w:rsid w:val="00BA436B"/>
    <w:rsid w:val="00BB7A2A"/>
    <w:rsid w:val="00BC48A5"/>
    <w:rsid w:val="00BC615F"/>
    <w:rsid w:val="00BC6BB6"/>
    <w:rsid w:val="00C10F16"/>
    <w:rsid w:val="00C2471D"/>
    <w:rsid w:val="00C30D5F"/>
    <w:rsid w:val="00C42E56"/>
    <w:rsid w:val="00C44D4F"/>
    <w:rsid w:val="00C45E15"/>
    <w:rsid w:val="00C47BA4"/>
    <w:rsid w:val="00C64C0E"/>
    <w:rsid w:val="00C77BDB"/>
    <w:rsid w:val="00C908B5"/>
    <w:rsid w:val="00C90F59"/>
    <w:rsid w:val="00CB2181"/>
    <w:rsid w:val="00CB4BBB"/>
    <w:rsid w:val="00CC684F"/>
    <w:rsid w:val="00CD7C6C"/>
    <w:rsid w:val="00CE25ED"/>
    <w:rsid w:val="00CF2170"/>
    <w:rsid w:val="00CF6269"/>
    <w:rsid w:val="00D14791"/>
    <w:rsid w:val="00D217E5"/>
    <w:rsid w:val="00D71059"/>
    <w:rsid w:val="00D91821"/>
    <w:rsid w:val="00DD3EF2"/>
    <w:rsid w:val="00DD492D"/>
    <w:rsid w:val="00DF74EA"/>
    <w:rsid w:val="00E01FFF"/>
    <w:rsid w:val="00E0751D"/>
    <w:rsid w:val="00E23304"/>
    <w:rsid w:val="00E24DBD"/>
    <w:rsid w:val="00E27030"/>
    <w:rsid w:val="00E341FE"/>
    <w:rsid w:val="00E45078"/>
    <w:rsid w:val="00E837DF"/>
    <w:rsid w:val="00E85588"/>
    <w:rsid w:val="00E85669"/>
    <w:rsid w:val="00EA3D37"/>
    <w:rsid w:val="00EA4A42"/>
    <w:rsid w:val="00EB0356"/>
    <w:rsid w:val="00EB4DFA"/>
    <w:rsid w:val="00EB5D04"/>
    <w:rsid w:val="00ED13A7"/>
    <w:rsid w:val="00EF77E5"/>
    <w:rsid w:val="00EF7CC1"/>
    <w:rsid w:val="00F12921"/>
    <w:rsid w:val="00F51148"/>
    <w:rsid w:val="00F53619"/>
    <w:rsid w:val="00F65A7D"/>
    <w:rsid w:val="00F67636"/>
    <w:rsid w:val="00F803EF"/>
    <w:rsid w:val="00FA52ED"/>
    <w:rsid w:val="00FE335F"/>
    <w:rsid w:val="00FF1CE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3ABBF5AA-DD31-4A21-B1FE-333CFB0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96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276B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F4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1">
    <w:name w:val="Grid Table 6 Colorful Accent 1"/>
    <w:basedOn w:val="Tablanormal"/>
    <w:uiPriority w:val="51"/>
    <w:rsid w:val="002634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Red Movil 1</cp:lastModifiedBy>
  <cp:revision>4</cp:revision>
  <cp:lastPrinted>2023-01-24T19:52:00Z</cp:lastPrinted>
  <dcterms:created xsi:type="dcterms:W3CDTF">2023-01-24T15:17:00Z</dcterms:created>
  <dcterms:modified xsi:type="dcterms:W3CDTF">2023-01-24T19:54:00Z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