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B86907"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F65D88B" w14:textId="77777777" w:rsidR="007D1E76" w:rsidRDefault="007D1E76" w:rsidP="00CB41C4">
      <w:pPr>
        <w:tabs>
          <w:tab w:val="left" w:leader="underscore" w:pos="9639"/>
        </w:tabs>
        <w:spacing w:after="0" w:line="240" w:lineRule="auto"/>
        <w:jc w:val="both"/>
        <w:rPr>
          <w:rFonts w:cs="Calibri"/>
        </w:rPr>
      </w:pPr>
    </w:p>
    <w:p w14:paraId="6EDF4356" w14:textId="77777777" w:rsidR="004C63B1" w:rsidRPr="00E74967" w:rsidRDefault="004C63B1"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3F5C2D46" w:rsidR="007D1E76" w:rsidRPr="00E74967" w:rsidRDefault="001771DF" w:rsidP="001771DF">
      <w:pPr>
        <w:tabs>
          <w:tab w:val="left" w:pos="6540"/>
        </w:tabs>
        <w:spacing w:after="0" w:line="240" w:lineRule="auto"/>
        <w:jc w:val="both"/>
        <w:rPr>
          <w:rFonts w:cs="Calibri"/>
        </w:rPr>
      </w:pPr>
      <w:r>
        <w:rPr>
          <w:rFonts w:cs="Calibri"/>
        </w:rPr>
        <w:tab/>
      </w: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rPr>
              <w:lang w:val="es-ES"/>
            </w:rPr>
          </w:pPr>
          <w:r>
            <w:rPr>
              <w:lang w:val="es-ES"/>
            </w:rPr>
            <w:t>Contenido</w:t>
          </w:r>
        </w:p>
        <w:p w14:paraId="6FC310E2" w14:textId="77777777" w:rsidR="00516100" w:rsidRPr="00516100" w:rsidRDefault="00516100" w:rsidP="00516100">
          <w:pPr>
            <w:rPr>
              <w:lang w:val="es-ES" w:eastAsia="es-MX"/>
            </w:rPr>
          </w:pPr>
        </w:p>
        <w:p w14:paraId="35547C03" w14:textId="77777777" w:rsidR="005B478F" w:rsidRDefault="00F46719">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88953063" w:history="1">
            <w:r w:rsidR="005B478F" w:rsidRPr="00452ED6">
              <w:rPr>
                <w:rStyle w:val="Hipervnculo"/>
                <w:rFonts w:cstheme="minorHAnsi"/>
                <w:b/>
                <w:noProof/>
              </w:rPr>
              <w:t>1. Autorización e Historia:</w:t>
            </w:r>
            <w:r w:rsidR="005B478F">
              <w:rPr>
                <w:noProof/>
                <w:webHidden/>
              </w:rPr>
              <w:tab/>
            </w:r>
            <w:r w:rsidR="005B478F">
              <w:rPr>
                <w:noProof/>
                <w:webHidden/>
              </w:rPr>
              <w:fldChar w:fldCharType="begin"/>
            </w:r>
            <w:r w:rsidR="005B478F">
              <w:rPr>
                <w:noProof/>
                <w:webHidden/>
              </w:rPr>
              <w:instrText xml:space="preserve"> PAGEREF _Toc188953063 \h </w:instrText>
            </w:r>
            <w:r w:rsidR="005B478F">
              <w:rPr>
                <w:noProof/>
                <w:webHidden/>
              </w:rPr>
            </w:r>
            <w:r w:rsidR="005B478F">
              <w:rPr>
                <w:noProof/>
                <w:webHidden/>
              </w:rPr>
              <w:fldChar w:fldCharType="separate"/>
            </w:r>
            <w:r w:rsidR="005B478F">
              <w:rPr>
                <w:noProof/>
                <w:webHidden/>
              </w:rPr>
              <w:t>2</w:t>
            </w:r>
            <w:r w:rsidR="005B478F">
              <w:rPr>
                <w:noProof/>
                <w:webHidden/>
              </w:rPr>
              <w:fldChar w:fldCharType="end"/>
            </w:r>
          </w:hyperlink>
        </w:p>
        <w:p w14:paraId="0526484C" w14:textId="77777777" w:rsidR="005B478F" w:rsidRDefault="005B478F">
          <w:pPr>
            <w:pStyle w:val="TDC2"/>
            <w:tabs>
              <w:tab w:val="right" w:leader="dot" w:pos="9678"/>
            </w:tabs>
            <w:rPr>
              <w:rFonts w:asciiTheme="minorHAnsi" w:eastAsiaTheme="minorEastAsia" w:hAnsiTheme="minorHAnsi" w:cstheme="minorBidi"/>
              <w:noProof/>
              <w:lang w:eastAsia="es-MX"/>
            </w:rPr>
          </w:pPr>
          <w:hyperlink w:anchor="_Toc188953064" w:history="1">
            <w:r w:rsidRPr="00452ED6">
              <w:rPr>
                <w:rStyle w:val="Hipervnculo"/>
                <w:rFonts w:cstheme="minorHAnsi"/>
                <w:b/>
                <w:noProof/>
              </w:rPr>
              <w:t>2. Describir el panorama Económico y Financiero</w:t>
            </w:r>
            <w:r>
              <w:rPr>
                <w:noProof/>
                <w:webHidden/>
              </w:rPr>
              <w:tab/>
            </w:r>
            <w:r>
              <w:rPr>
                <w:noProof/>
                <w:webHidden/>
              </w:rPr>
              <w:fldChar w:fldCharType="begin"/>
            </w:r>
            <w:r>
              <w:rPr>
                <w:noProof/>
                <w:webHidden/>
              </w:rPr>
              <w:instrText xml:space="preserve"> PAGEREF _Toc188953064 \h </w:instrText>
            </w:r>
            <w:r>
              <w:rPr>
                <w:noProof/>
                <w:webHidden/>
              </w:rPr>
            </w:r>
            <w:r>
              <w:rPr>
                <w:noProof/>
                <w:webHidden/>
              </w:rPr>
              <w:fldChar w:fldCharType="separate"/>
            </w:r>
            <w:r>
              <w:rPr>
                <w:noProof/>
                <w:webHidden/>
              </w:rPr>
              <w:t>2</w:t>
            </w:r>
            <w:r>
              <w:rPr>
                <w:noProof/>
                <w:webHidden/>
              </w:rPr>
              <w:fldChar w:fldCharType="end"/>
            </w:r>
          </w:hyperlink>
        </w:p>
        <w:p w14:paraId="28B050D8" w14:textId="77777777" w:rsidR="005B478F" w:rsidRDefault="005B478F">
          <w:pPr>
            <w:pStyle w:val="TDC2"/>
            <w:tabs>
              <w:tab w:val="right" w:leader="dot" w:pos="9678"/>
            </w:tabs>
            <w:rPr>
              <w:rFonts w:asciiTheme="minorHAnsi" w:eastAsiaTheme="minorEastAsia" w:hAnsiTheme="minorHAnsi" w:cstheme="minorBidi"/>
              <w:noProof/>
              <w:lang w:eastAsia="es-MX"/>
            </w:rPr>
          </w:pPr>
          <w:hyperlink w:anchor="_Toc188953065" w:history="1">
            <w:r w:rsidRPr="00452ED6">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_Toc188953065 \h </w:instrText>
            </w:r>
            <w:r>
              <w:rPr>
                <w:noProof/>
                <w:webHidden/>
              </w:rPr>
            </w:r>
            <w:r>
              <w:rPr>
                <w:noProof/>
                <w:webHidden/>
              </w:rPr>
              <w:fldChar w:fldCharType="separate"/>
            </w:r>
            <w:r>
              <w:rPr>
                <w:noProof/>
                <w:webHidden/>
              </w:rPr>
              <w:t>5</w:t>
            </w:r>
            <w:r>
              <w:rPr>
                <w:noProof/>
                <w:webHidden/>
              </w:rPr>
              <w:fldChar w:fldCharType="end"/>
            </w:r>
          </w:hyperlink>
        </w:p>
        <w:p w14:paraId="0F1A4204" w14:textId="77777777" w:rsidR="005B478F" w:rsidRDefault="005B478F">
          <w:pPr>
            <w:pStyle w:val="TDC2"/>
            <w:tabs>
              <w:tab w:val="right" w:leader="dot" w:pos="9678"/>
            </w:tabs>
            <w:rPr>
              <w:rFonts w:asciiTheme="minorHAnsi" w:eastAsiaTheme="minorEastAsia" w:hAnsiTheme="minorHAnsi" w:cstheme="minorBidi"/>
              <w:noProof/>
              <w:lang w:eastAsia="es-MX"/>
            </w:rPr>
          </w:pPr>
          <w:hyperlink w:anchor="_Toc188953066" w:history="1">
            <w:r w:rsidRPr="00452ED6">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_Toc188953066 \h </w:instrText>
            </w:r>
            <w:r>
              <w:rPr>
                <w:noProof/>
                <w:webHidden/>
              </w:rPr>
            </w:r>
            <w:r>
              <w:rPr>
                <w:noProof/>
                <w:webHidden/>
              </w:rPr>
              <w:fldChar w:fldCharType="separate"/>
            </w:r>
            <w:r>
              <w:rPr>
                <w:noProof/>
                <w:webHidden/>
              </w:rPr>
              <w:t>9</w:t>
            </w:r>
            <w:r>
              <w:rPr>
                <w:noProof/>
                <w:webHidden/>
              </w:rPr>
              <w:fldChar w:fldCharType="end"/>
            </w:r>
          </w:hyperlink>
        </w:p>
        <w:p w14:paraId="7D635B3B" w14:textId="77777777" w:rsidR="005B478F" w:rsidRDefault="005B478F">
          <w:pPr>
            <w:pStyle w:val="TDC2"/>
            <w:tabs>
              <w:tab w:val="right" w:leader="dot" w:pos="9678"/>
            </w:tabs>
            <w:rPr>
              <w:rFonts w:asciiTheme="minorHAnsi" w:eastAsiaTheme="minorEastAsia" w:hAnsiTheme="minorHAnsi" w:cstheme="minorBidi"/>
              <w:noProof/>
              <w:lang w:eastAsia="es-MX"/>
            </w:rPr>
          </w:pPr>
          <w:hyperlink w:anchor="_Toc188953067" w:history="1">
            <w:r w:rsidRPr="00452ED6">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_Toc188953067 \h </w:instrText>
            </w:r>
            <w:r>
              <w:rPr>
                <w:noProof/>
                <w:webHidden/>
              </w:rPr>
            </w:r>
            <w:r>
              <w:rPr>
                <w:noProof/>
                <w:webHidden/>
              </w:rPr>
              <w:fldChar w:fldCharType="separate"/>
            </w:r>
            <w:r>
              <w:rPr>
                <w:noProof/>
                <w:webHidden/>
              </w:rPr>
              <w:t>11</w:t>
            </w:r>
            <w:r>
              <w:rPr>
                <w:noProof/>
                <w:webHidden/>
              </w:rPr>
              <w:fldChar w:fldCharType="end"/>
            </w:r>
          </w:hyperlink>
        </w:p>
        <w:p w14:paraId="67AFE715" w14:textId="77777777" w:rsidR="005B478F" w:rsidRDefault="005B478F">
          <w:pPr>
            <w:pStyle w:val="TDC2"/>
            <w:tabs>
              <w:tab w:val="right" w:leader="dot" w:pos="9678"/>
            </w:tabs>
            <w:rPr>
              <w:rFonts w:asciiTheme="minorHAnsi" w:eastAsiaTheme="minorEastAsia" w:hAnsiTheme="minorHAnsi" w:cstheme="minorBidi"/>
              <w:noProof/>
              <w:lang w:eastAsia="es-MX"/>
            </w:rPr>
          </w:pPr>
          <w:hyperlink w:anchor="_Toc188953068" w:history="1">
            <w:r w:rsidRPr="00452ED6">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_Toc188953068 \h </w:instrText>
            </w:r>
            <w:r>
              <w:rPr>
                <w:noProof/>
                <w:webHidden/>
              </w:rPr>
            </w:r>
            <w:r>
              <w:rPr>
                <w:noProof/>
                <w:webHidden/>
              </w:rPr>
              <w:fldChar w:fldCharType="separate"/>
            </w:r>
            <w:r>
              <w:rPr>
                <w:noProof/>
                <w:webHidden/>
              </w:rPr>
              <w:t>13</w:t>
            </w:r>
            <w:r>
              <w:rPr>
                <w:noProof/>
                <w:webHidden/>
              </w:rPr>
              <w:fldChar w:fldCharType="end"/>
            </w:r>
          </w:hyperlink>
        </w:p>
        <w:p w14:paraId="62410C2F" w14:textId="77777777" w:rsidR="005B478F" w:rsidRDefault="005B478F">
          <w:pPr>
            <w:pStyle w:val="TDC2"/>
            <w:tabs>
              <w:tab w:val="right" w:leader="dot" w:pos="9678"/>
            </w:tabs>
            <w:rPr>
              <w:rFonts w:asciiTheme="minorHAnsi" w:eastAsiaTheme="minorEastAsia" w:hAnsiTheme="minorHAnsi" w:cstheme="minorBidi"/>
              <w:noProof/>
              <w:lang w:eastAsia="es-MX"/>
            </w:rPr>
          </w:pPr>
          <w:hyperlink w:anchor="_Toc188953069" w:history="1">
            <w:r w:rsidRPr="00452ED6">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_Toc188953069 \h </w:instrText>
            </w:r>
            <w:r>
              <w:rPr>
                <w:noProof/>
                <w:webHidden/>
              </w:rPr>
            </w:r>
            <w:r>
              <w:rPr>
                <w:noProof/>
                <w:webHidden/>
              </w:rPr>
              <w:fldChar w:fldCharType="separate"/>
            </w:r>
            <w:r>
              <w:rPr>
                <w:noProof/>
                <w:webHidden/>
              </w:rPr>
              <w:t>14</w:t>
            </w:r>
            <w:r>
              <w:rPr>
                <w:noProof/>
                <w:webHidden/>
              </w:rPr>
              <w:fldChar w:fldCharType="end"/>
            </w:r>
          </w:hyperlink>
        </w:p>
        <w:p w14:paraId="747D5511" w14:textId="77777777" w:rsidR="005B478F" w:rsidRDefault="005B478F">
          <w:pPr>
            <w:pStyle w:val="TDC2"/>
            <w:tabs>
              <w:tab w:val="right" w:leader="dot" w:pos="9678"/>
            </w:tabs>
            <w:rPr>
              <w:rFonts w:asciiTheme="minorHAnsi" w:eastAsiaTheme="minorEastAsia" w:hAnsiTheme="minorHAnsi" w:cstheme="minorBidi"/>
              <w:noProof/>
              <w:lang w:eastAsia="es-MX"/>
            </w:rPr>
          </w:pPr>
          <w:hyperlink w:anchor="_Toc188953070" w:history="1">
            <w:r w:rsidRPr="00452ED6">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_Toc188953070 \h </w:instrText>
            </w:r>
            <w:r>
              <w:rPr>
                <w:noProof/>
                <w:webHidden/>
              </w:rPr>
            </w:r>
            <w:r>
              <w:rPr>
                <w:noProof/>
                <w:webHidden/>
              </w:rPr>
              <w:fldChar w:fldCharType="separate"/>
            </w:r>
            <w:r>
              <w:rPr>
                <w:noProof/>
                <w:webHidden/>
              </w:rPr>
              <w:t>16</w:t>
            </w:r>
            <w:r>
              <w:rPr>
                <w:noProof/>
                <w:webHidden/>
              </w:rPr>
              <w:fldChar w:fldCharType="end"/>
            </w:r>
          </w:hyperlink>
        </w:p>
        <w:p w14:paraId="07355FE5" w14:textId="77777777" w:rsidR="005B478F" w:rsidRDefault="005B478F">
          <w:pPr>
            <w:pStyle w:val="TDC2"/>
            <w:tabs>
              <w:tab w:val="right" w:leader="dot" w:pos="9678"/>
            </w:tabs>
            <w:rPr>
              <w:rFonts w:asciiTheme="minorHAnsi" w:eastAsiaTheme="minorEastAsia" w:hAnsiTheme="minorHAnsi" w:cstheme="minorBidi"/>
              <w:noProof/>
              <w:lang w:eastAsia="es-MX"/>
            </w:rPr>
          </w:pPr>
          <w:hyperlink w:anchor="_Toc188953071" w:history="1">
            <w:r w:rsidRPr="00452ED6">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_Toc188953071 \h </w:instrText>
            </w:r>
            <w:r>
              <w:rPr>
                <w:noProof/>
                <w:webHidden/>
              </w:rPr>
            </w:r>
            <w:r>
              <w:rPr>
                <w:noProof/>
                <w:webHidden/>
              </w:rPr>
              <w:fldChar w:fldCharType="separate"/>
            </w:r>
            <w:r>
              <w:rPr>
                <w:noProof/>
                <w:webHidden/>
              </w:rPr>
              <w:t>16</w:t>
            </w:r>
            <w:r>
              <w:rPr>
                <w:noProof/>
                <w:webHidden/>
              </w:rPr>
              <w:fldChar w:fldCharType="end"/>
            </w:r>
          </w:hyperlink>
        </w:p>
        <w:p w14:paraId="25AC8B44" w14:textId="77777777" w:rsidR="005B478F" w:rsidRDefault="005B478F">
          <w:pPr>
            <w:pStyle w:val="TDC2"/>
            <w:tabs>
              <w:tab w:val="right" w:leader="dot" w:pos="9678"/>
            </w:tabs>
            <w:rPr>
              <w:rFonts w:asciiTheme="minorHAnsi" w:eastAsiaTheme="minorEastAsia" w:hAnsiTheme="minorHAnsi" w:cstheme="minorBidi"/>
              <w:noProof/>
              <w:lang w:eastAsia="es-MX"/>
            </w:rPr>
          </w:pPr>
          <w:hyperlink w:anchor="_Toc188953072" w:history="1">
            <w:r w:rsidRPr="00452ED6">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_Toc188953072 \h </w:instrText>
            </w:r>
            <w:r>
              <w:rPr>
                <w:noProof/>
                <w:webHidden/>
              </w:rPr>
            </w:r>
            <w:r>
              <w:rPr>
                <w:noProof/>
                <w:webHidden/>
              </w:rPr>
              <w:fldChar w:fldCharType="separate"/>
            </w:r>
            <w:r>
              <w:rPr>
                <w:noProof/>
                <w:webHidden/>
              </w:rPr>
              <w:t>17</w:t>
            </w:r>
            <w:r>
              <w:rPr>
                <w:noProof/>
                <w:webHidden/>
              </w:rPr>
              <w:fldChar w:fldCharType="end"/>
            </w:r>
          </w:hyperlink>
        </w:p>
        <w:p w14:paraId="67677695" w14:textId="77777777" w:rsidR="005B478F" w:rsidRDefault="005B478F">
          <w:pPr>
            <w:pStyle w:val="TDC2"/>
            <w:tabs>
              <w:tab w:val="right" w:leader="dot" w:pos="9678"/>
            </w:tabs>
            <w:rPr>
              <w:rFonts w:asciiTheme="minorHAnsi" w:eastAsiaTheme="minorEastAsia" w:hAnsiTheme="minorHAnsi" w:cstheme="minorBidi"/>
              <w:noProof/>
              <w:lang w:eastAsia="es-MX"/>
            </w:rPr>
          </w:pPr>
          <w:hyperlink w:anchor="_Toc188953073" w:history="1">
            <w:r w:rsidRPr="00452ED6">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_Toc188953073 \h </w:instrText>
            </w:r>
            <w:r>
              <w:rPr>
                <w:noProof/>
                <w:webHidden/>
              </w:rPr>
            </w:r>
            <w:r>
              <w:rPr>
                <w:noProof/>
                <w:webHidden/>
              </w:rPr>
              <w:fldChar w:fldCharType="separate"/>
            </w:r>
            <w:r>
              <w:rPr>
                <w:noProof/>
                <w:webHidden/>
              </w:rPr>
              <w:t>17</w:t>
            </w:r>
            <w:r>
              <w:rPr>
                <w:noProof/>
                <w:webHidden/>
              </w:rPr>
              <w:fldChar w:fldCharType="end"/>
            </w:r>
          </w:hyperlink>
        </w:p>
        <w:p w14:paraId="073D2BE4" w14:textId="77777777" w:rsidR="005B478F" w:rsidRDefault="005B478F">
          <w:pPr>
            <w:pStyle w:val="TDC2"/>
            <w:tabs>
              <w:tab w:val="right" w:leader="dot" w:pos="9678"/>
            </w:tabs>
            <w:rPr>
              <w:rFonts w:asciiTheme="minorHAnsi" w:eastAsiaTheme="minorEastAsia" w:hAnsiTheme="minorHAnsi" w:cstheme="minorBidi"/>
              <w:noProof/>
              <w:lang w:eastAsia="es-MX"/>
            </w:rPr>
          </w:pPr>
          <w:hyperlink w:anchor="_Toc188953074" w:history="1">
            <w:r w:rsidRPr="00452ED6">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_Toc188953074 \h </w:instrText>
            </w:r>
            <w:r>
              <w:rPr>
                <w:noProof/>
                <w:webHidden/>
              </w:rPr>
            </w:r>
            <w:r>
              <w:rPr>
                <w:noProof/>
                <w:webHidden/>
              </w:rPr>
              <w:fldChar w:fldCharType="separate"/>
            </w:r>
            <w:r>
              <w:rPr>
                <w:noProof/>
                <w:webHidden/>
              </w:rPr>
              <w:t>18</w:t>
            </w:r>
            <w:r>
              <w:rPr>
                <w:noProof/>
                <w:webHidden/>
              </w:rPr>
              <w:fldChar w:fldCharType="end"/>
            </w:r>
          </w:hyperlink>
        </w:p>
        <w:p w14:paraId="50C983AC" w14:textId="77777777" w:rsidR="005B478F" w:rsidRDefault="005B478F">
          <w:pPr>
            <w:pStyle w:val="TDC2"/>
            <w:tabs>
              <w:tab w:val="right" w:leader="dot" w:pos="9678"/>
            </w:tabs>
            <w:rPr>
              <w:rFonts w:asciiTheme="minorHAnsi" w:eastAsiaTheme="minorEastAsia" w:hAnsiTheme="minorHAnsi" w:cstheme="minorBidi"/>
              <w:noProof/>
              <w:lang w:eastAsia="es-MX"/>
            </w:rPr>
          </w:pPr>
          <w:hyperlink w:anchor="_Toc188953075" w:history="1">
            <w:r w:rsidRPr="00452ED6">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_Toc188953075 \h </w:instrText>
            </w:r>
            <w:r>
              <w:rPr>
                <w:noProof/>
                <w:webHidden/>
              </w:rPr>
            </w:r>
            <w:r>
              <w:rPr>
                <w:noProof/>
                <w:webHidden/>
              </w:rPr>
              <w:fldChar w:fldCharType="separate"/>
            </w:r>
            <w:r>
              <w:rPr>
                <w:noProof/>
                <w:webHidden/>
              </w:rPr>
              <w:t>19</w:t>
            </w:r>
            <w:r>
              <w:rPr>
                <w:noProof/>
                <w:webHidden/>
              </w:rPr>
              <w:fldChar w:fldCharType="end"/>
            </w:r>
          </w:hyperlink>
        </w:p>
        <w:p w14:paraId="5DCD4003" w14:textId="77777777" w:rsidR="005B478F" w:rsidRDefault="005B478F">
          <w:pPr>
            <w:pStyle w:val="TDC2"/>
            <w:tabs>
              <w:tab w:val="right" w:leader="dot" w:pos="9678"/>
            </w:tabs>
            <w:rPr>
              <w:rFonts w:asciiTheme="minorHAnsi" w:eastAsiaTheme="minorEastAsia" w:hAnsiTheme="minorHAnsi" w:cstheme="minorBidi"/>
              <w:noProof/>
              <w:lang w:eastAsia="es-MX"/>
            </w:rPr>
          </w:pPr>
          <w:hyperlink w:anchor="_Toc188953076" w:history="1">
            <w:r w:rsidRPr="00452ED6">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_Toc188953076 \h </w:instrText>
            </w:r>
            <w:r>
              <w:rPr>
                <w:noProof/>
                <w:webHidden/>
              </w:rPr>
            </w:r>
            <w:r>
              <w:rPr>
                <w:noProof/>
                <w:webHidden/>
              </w:rPr>
              <w:fldChar w:fldCharType="separate"/>
            </w:r>
            <w:r>
              <w:rPr>
                <w:noProof/>
                <w:webHidden/>
              </w:rPr>
              <w:t>19</w:t>
            </w:r>
            <w:r>
              <w:rPr>
                <w:noProof/>
                <w:webHidden/>
              </w:rPr>
              <w:fldChar w:fldCharType="end"/>
            </w:r>
          </w:hyperlink>
        </w:p>
        <w:p w14:paraId="261DADD3" w14:textId="77777777" w:rsidR="005B478F" w:rsidRDefault="005B478F">
          <w:pPr>
            <w:pStyle w:val="TDC2"/>
            <w:tabs>
              <w:tab w:val="right" w:leader="dot" w:pos="9678"/>
            </w:tabs>
            <w:rPr>
              <w:rFonts w:asciiTheme="minorHAnsi" w:eastAsiaTheme="minorEastAsia" w:hAnsiTheme="minorHAnsi" w:cstheme="minorBidi"/>
              <w:noProof/>
              <w:lang w:eastAsia="es-MX"/>
            </w:rPr>
          </w:pPr>
          <w:hyperlink w:anchor="_Toc188953077" w:history="1">
            <w:r w:rsidRPr="00452ED6">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_Toc188953077 \h </w:instrText>
            </w:r>
            <w:r>
              <w:rPr>
                <w:noProof/>
                <w:webHidden/>
              </w:rPr>
            </w:r>
            <w:r>
              <w:rPr>
                <w:noProof/>
                <w:webHidden/>
              </w:rPr>
              <w:fldChar w:fldCharType="separate"/>
            </w:r>
            <w:r>
              <w:rPr>
                <w:noProof/>
                <w:webHidden/>
              </w:rPr>
              <w:t>19</w:t>
            </w:r>
            <w:r>
              <w:rPr>
                <w:noProof/>
                <w:webHidden/>
              </w:rPr>
              <w:fldChar w:fldCharType="end"/>
            </w:r>
          </w:hyperlink>
        </w:p>
        <w:p w14:paraId="5BA23F5B" w14:textId="77777777" w:rsidR="005B478F" w:rsidRDefault="005B478F">
          <w:pPr>
            <w:pStyle w:val="TDC2"/>
            <w:tabs>
              <w:tab w:val="right" w:leader="dot" w:pos="9678"/>
            </w:tabs>
            <w:rPr>
              <w:rFonts w:asciiTheme="minorHAnsi" w:eastAsiaTheme="minorEastAsia" w:hAnsiTheme="minorHAnsi" w:cstheme="minorBidi"/>
              <w:noProof/>
              <w:lang w:eastAsia="es-MX"/>
            </w:rPr>
          </w:pPr>
          <w:hyperlink w:anchor="_Toc188953078" w:history="1">
            <w:r w:rsidRPr="00452ED6">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_Toc188953078 \h </w:instrText>
            </w:r>
            <w:r>
              <w:rPr>
                <w:noProof/>
                <w:webHidden/>
              </w:rPr>
            </w:r>
            <w:r>
              <w:rPr>
                <w:noProof/>
                <w:webHidden/>
              </w:rPr>
              <w:fldChar w:fldCharType="separate"/>
            </w:r>
            <w:r>
              <w:rPr>
                <w:noProof/>
                <w:webHidden/>
              </w:rPr>
              <w:t>20</w:t>
            </w:r>
            <w:r>
              <w:rPr>
                <w:noProof/>
                <w:webHidden/>
              </w:rPr>
              <w:fldChar w:fldCharType="end"/>
            </w:r>
          </w:hyperlink>
        </w:p>
        <w:p w14:paraId="43551857" w14:textId="4F747141" w:rsidR="00F46719" w:rsidRDefault="00F46719">
          <w:r>
            <w:rPr>
              <w:b/>
              <w:bCs/>
              <w:lang w:val="es-ES"/>
            </w:rPr>
            <w:fldChar w:fldCharType="end"/>
          </w:r>
        </w:p>
      </w:sdtContent>
    </w:sdt>
    <w:p w14:paraId="54575967" w14:textId="09BF8276" w:rsidR="007D1E76" w:rsidRPr="000C3365" w:rsidRDefault="007E38A2" w:rsidP="000C3365">
      <w:pPr>
        <w:pStyle w:val="Ttulo2"/>
        <w:rPr>
          <w:rFonts w:asciiTheme="minorHAnsi" w:hAnsiTheme="minorHAnsi" w:cstheme="minorHAnsi"/>
          <w:b/>
          <w:color w:val="auto"/>
          <w:sz w:val="22"/>
        </w:rPr>
      </w:pPr>
      <w:bookmarkStart w:id="0" w:name="_Toc188953063"/>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4620C5" w:rsidRDefault="007D1E76" w:rsidP="00CB41C4">
      <w:pPr>
        <w:tabs>
          <w:tab w:val="left" w:leader="underscore" w:pos="9639"/>
        </w:tabs>
        <w:spacing w:after="0" w:line="240" w:lineRule="auto"/>
        <w:jc w:val="both"/>
        <w:rPr>
          <w:rFonts w:cs="Calibri"/>
        </w:rPr>
      </w:pPr>
      <w:r w:rsidRPr="004620C5">
        <w:rPr>
          <w:rFonts w:cs="Calibri"/>
        </w:rPr>
        <w:t>Se informará sobre:</w:t>
      </w:r>
    </w:p>
    <w:p w14:paraId="062E74E7" w14:textId="77777777" w:rsidR="007D1E76" w:rsidRPr="004620C5" w:rsidRDefault="007D1E76" w:rsidP="00CB41C4">
      <w:pPr>
        <w:tabs>
          <w:tab w:val="left" w:leader="underscore" w:pos="9639"/>
        </w:tabs>
        <w:spacing w:after="0" w:line="240" w:lineRule="auto"/>
        <w:jc w:val="both"/>
        <w:rPr>
          <w:rFonts w:cs="Calibri"/>
        </w:rPr>
      </w:pPr>
    </w:p>
    <w:p w14:paraId="3F477DA3" w14:textId="72F8AFA1" w:rsidR="007D1E76" w:rsidRPr="004620C5" w:rsidRDefault="007D1E76" w:rsidP="00CB41C4">
      <w:pPr>
        <w:tabs>
          <w:tab w:val="left" w:leader="underscore" w:pos="9639"/>
        </w:tabs>
        <w:spacing w:after="0" w:line="240" w:lineRule="auto"/>
        <w:jc w:val="both"/>
        <w:rPr>
          <w:rFonts w:cs="Calibri"/>
          <w:b/>
        </w:rPr>
      </w:pPr>
      <w:r w:rsidRPr="004620C5">
        <w:rPr>
          <w:rFonts w:cs="Calibri"/>
          <w:b/>
        </w:rPr>
        <w:t>a) Fecha de creación del ente</w:t>
      </w:r>
      <w:r w:rsidR="00F43AC5" w:rsidRPr="004620C5">
        <w:rPr>
          <w:rFonts w:cs="Calibri"/>
          <w:b/>
        </w:rPr>
        <w:t xml:space="preserve"> público.</w:t>
      </w:r>
      <w:bookmarkStart w:id="1" w:name="_GoBack"/>
      <w:bookmarkEnd w:id="1"/>
    </w:p>
    <w:p w14:paraId="6A6F7E69" w14:textId="77777777" w:rsidR="001771DF" w:rsidRPr="004620C5" w:rsidRDefault="001771DF" w:rsidP="001771DF">
      <w:pPr>
        <w:spacing w:after="0"/>
        <w:jc w:val="both"/>
        <w:rPr>
          <w:rFonts w:cs="Calibri"/>
        </w:rPr>
      </w:pPr>
    </w:p>
    <w:p w14:paraId="46C6D340" w14:textId="77777777" w:rsidR="001771DF" w:rsidRPr="004620C5" w:rsidRDefault="001771DF" w:rsidP="001771DF">
      <w:pPr>
        <w:spacing w:after="0"/>
        <w:jc w:val="both"/>
        <w:rPr>
          <w:rFonts w:cs="Calibri"/>
        </w:rPr>
      </w:pPr>
      <w:r w:rsidRPr="004620C5">
        <w:rPr>
          <w:rFonts w:cs="Calibri"/>
        </w:rPr>
        <w:t>El artículo 33 de la Constitución Política para el Estado de Guanajuato reconoce la existencia del Municipio de Guanajuato, el cual fue creado el 1° de enero de 1985 con RFC MGU850101JD5.</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4620C5" w:rsidRDefault="007D1E76" w:rsidP="00CB41C4">
      <w:pPr>
        <w:tabs>
          <w:tab w:val="left" w:leader="underscore" w:pos="9639"/>
        </w:tabs>
        <w:spacing w:after="0" w:line="240" w:lineRule="auto"/>
        <w:jc w:val="both"/>
        <w:rPr>
          <w:rFonts w:cs="Calibri"/>
          <w:b/>
        </w:rPr>
      </w:pPr>
      <w:r w:rsidRPr="004620C5">
        <w:rPr>
          <w:rFonts w:cs="Calibri"/>
          <w:b/>
        </w:rPr>
        <w:t>b) Principales cambios en su estructura (interna históricamente).</w:t>
      </w:r>
    </w:p>
    <w:p w14:paraId="57135085" w14:textId="77777777" w:rsidR="001771DF" w:rsidRDefault="001771DF" w:rsidP="00CB41C4">
      <w:pPr>
        <w:tabs>
          <w:tab w:val="left" w:leader="underscore" w:pos="9639"/>
        </w:tabs>
        <w:spacing w:after="0" w:line="240" w:lineRule="auto"/>
        <w:jc w:val="both"/>
        <w:rPr>
          <w:rFonts w:cs="Calibri"/>
        </w:rPr>
      </w:pPr>
    </w:p>
    <w:p w14:paraId="1B04E0C6" w14:textId="77777777" w:rsidR="001771DF" w:rsidRPr="006D0B0E" w:rsidRDefault="001771DF" w:rsidP="001771DF">
      <w:pPr>
        <w:jc w:val="both"/>
        <w:rPr>
          <w:rFonts w:eastAsia="Times New Roman" w:cs="Arial"/>
        </w:rPr>
      </w:pPr>
      <w:r w:rsidRPr="006D0B0E">
        <w:rPr>
          <w:rFonts w:eastAsia="Times New Roman" w:cs="Arial"/>
        </w:rPr>
        <w:t>Presidentes Municipales de los últimos tres periodos:</w:t>
      </w:r>
    </w:p>
    <w:p w14:paraId="73E75B7C" w14:textId="42E2B9D7" w:rsidR="004C63B1" w:rsidRDefault="004C63B1" w:rsidP="001771DF">
      <w:pPr>
        <w:pStyle w:val="Sinespaciado"/>
      </w:pPr>
      <w:r>
        <w:t>Arq. Samantha Smith Gutiérrez (2024-2027)</w:t>
      </w:r>
    </w:p>
    <w:p w14:paraId="252FD955" w14:textId="3A83F8AA" w:rsidR="001771DF" w:rsidRDefault="001771DF" w:rsidP="001771DF">
      <w:pPr>
        <w:pStyle w:val="Sinespaciado"/>
      </w:pPr>
      <w:r w:rsidRPr="0040330C">
        <w:t xml:space="preserve">Lic. Mario Alejandro </w:t>
      </w:r>
      <w:r>
        <w:t>Navarro Saldaña (</w:t>
      </w:r>
      <w:r w:rsidRPr="0040330C">
        <w:t>2021</w:t>
      </w:r>
      <w:r>
        <w:t>-2024</w:t>
      </w:r>
      <w:r w:rsidRPr="0040330C">
        <w:t>)</w:t>
      </w:r>
    </w:p>
    <w:p w14:paraId="37B15DB5" w14:textId="77777777" w:rsidR="001771DF" w:rsidRDefault="001771DF" w:rsidP="001771DF">
      <w:pPr>
        <w:pStyle w:val="Sinespaciado"/>
      </w:pPr>
      <w:r>
        <w:t>C. Armando López Ramírez (Presidente Interino 2021)</w:t>
      </w:r>
    </w:p>
    <w:p w14:paraId="2A64BBB3" w14:textId="77777777" w:rsidR="001771DF" w:rsidRPr="0040330C" w:rsidRDefault="001771DF" w:rsidP="001771DF">
      <w:pPr>
        <w:pStyle w:val="Sinespaciado"/>
      </w:pPr>
      <w:r w:rsidRPr="0040330C">
        <w:t>Lic. Mario Alejandro Navarro Saldaña (2018-2021)</w:t>
      </w:r>
    </w:p>
    <w:p w14:paraId="75819EC9" w14:textId="77777777" w:rsidR="001771DF" w:rsidRPr="0040330C" w:rsidRDefault="001771DF" w:rsidP="001771DF">
      <w:pPr>
        <w:pStyle w:val="Sinespaciado"/>
      </w:pPr>
      <w:r w:rsidRPr="0040330C">
        <w:t>Lic. Edgar Castro Cerrillo (2015-2018)</w:t>
      </w:r>
    </w:p>
    <w:p w14:paraId="08B58048" w14:textId="77777777" w:rsidR="001771DF" w:rsidRPr="0040330C" w:rsidRDefault="001771DF" w:rsidP="001771DF">
      <w:pPr>
        <w:pStyle w:val="Sinespaciado"/>
      </w:pPr>
      <w:r w:rsidRPr="0040330C">
        <w:t>Ing. Luis Fernando Gutiérrez Márquez (2012-2015)</w:t>
      </w:r>
    </w:p>
    <w:p w14:paraId="14694007" w14:textId="77777777" w:rsidR="00BA34B4" w:rsidRPr="00E74967" w:rsidRDefault="00BA34B4" w:rsidP="00516A8F">
      <w:pPr>
        <w:tabs>
          <w:tab w:val="left" w:leader="underscore" w:pos="9639"/>
        </w:tabs>
        <w:spacing w:after="0" w:line="240" w:lineRule="auto"/>
        <w:jc w:val="both"/>
        <w:rPr>
          <w:rFonts w:cs="Calibri"/>
        </w:rPr>
      </w:pPr>
    </w:p>
    <w:p w14:paraId="5A494C73" w14:textId="0B5C4CA9" w:rsidR="00BE02EB" w:rsidRDefault="00BE02EB" w:rsidP="000C3365">
      <w:pPr>
        <w:pStyle w:val="Ttulo2"/>
        <w:rPr>
          <w:rFonts w:asciiTheme="minorHAnsi" w:hAnsiTheme="minorHAnsi" w:cstheme="minorHAnsi"/>
          <w:b/>
          <w:color w:val="auto"/>
          <w:sz w:val="22"/>
        </w:rPr>
      </w:pPr>
      <w:bookmarkStart w:id="2" w:name="_Hlk180413377"/>
      <w:bookmarkStart w:id="3" w:name="_Toc188953064"/>
      <w:r>
        <w:rPr>
          <w:rFonts w:asciiTheme="minorHAnsi" w:hAnsiTheme="minorHAnsi" w:cstheme="minorHAnsi"/>
          <w:b/>
          <w:color w:val="auto"/>
          <w:sz w:val="22"/>
        </w:rPr>
        <w:t xml:space="preserve">2. </w:t>
      </w:r>
      <w:r w:rsidR="00A1081E">
        <w:rPr>
          <w:rFonts w:asciiTheme="minorHAnsi" w:hAnsiTheme="minorHAnsi" w:cstheme="minorHAnsi"/>
          <w:b/>
          <w:color w:val="auto"/>
          <w:sz w:val="22"/>
        </w:rPr>
        <w:t>Describir el p</w:t>
      </w:r>
      <w:r w:rsidR="00B6368B" w:rsidRPr="00B6368B">
        <w:rPr>
          <w:rFonts w:asciiTheme="minorHAnsi" w:hAnsiTheme="minorHAnsi" w:cstheme="minorHAnsi"/>
          <w:b/>
          <w:color w:val="auto"/>
          <w:sz w:val="22"/>
        </w:rPr>
        <w:t>anorama Económico y Financiero</w:t>
      </w:r>
      <w:bookmarkEnd w:id="3"/>
    </w:p>
    <w:bookmarkEnd w:id="2"/>
    <w:p w14:paraId="0AB9191B" w14:textId="77777777" w:rsidR="0029578B" w:rsidRDefault="0029578B" w:rsidP="00516A8F">
      <w:pPr>
        <w:tabs>
          <w:tab w:val="left" w:leader="underscore" w:pos="9639"/>
        </w:tabs>
        <w:spacing w:after="0" w:line="240" w:lineRule="auto"/>
        <w:jc w:val="both"/>
        <w:rPr>
          <w:rFonts w:cs="Calibri"/>
        </w:rPr>
      </w:pPr>
    </w:p>
    <w:p w14:paraId="0BE0DB48" w14:textId="668E313D" w:rsidR="002E1F53" w:rsidRPr="004620C5" w:rsidRDefault="002E1F53" w:rsidP="002E1F53">
      <w:pPr>
        <w:pStyle w:val="Default"/>
        <w:jc w:val="both"/>
        <w:rPr>
          <w:rFonts w:ascii="Calibri" w:hAnsi="Calibri" w:cs="Calibri"/>
          <w:color w:val="auto"/>
          <w:sz w:val="22"/>
          <w:szCs w:val="22"/>
          <w:lang w:eastAsia="en-US"/>
        </w:rPr>
      </w:pPr>
      <w:r w:rsidRPr="004620C5">
        <w:rPr>
          <w:rFonts w:ascii="Calibri" w:hAnsi="Calibri" w:cs="Calibri"/>
          <w:color w:val="auto"/>
          <w:sz w:val="22"/>
          <w:szCs w:val="22"/>
          <w:lang w:eastAsia="en-US"/>
        </w:rPr>
        <w:t>Entre el segundo trimestre de 2023 y el segundo trimestre de 2024, el porcentaje de la pobreza laboral presentó una disminución a nivel nacional de 2.8 puntos porcentuales al pasar de 37.8% a 35.0%.</w:t>
      </w:r>
    </w:p>
    <w:p w14:paraId="49591C25" w14:textId="77777777" w:rsidR="002E1F53" w:rsidRPr="004620C5" w:rsidRDefault="002E1F53" w:rsidP="002E1F53">
      <w:pPr>
        <w:pStyle w:val="Default"/>
        <w:jc w:val="both"/>
        <w:rPr>
          <w:rFonts w:ascii="Calibri" w:hAnsi="Calibri" w:cs="Calibri"/>
          <w:color w:val="auto"/>
          <w:sz w:val="22"/>
          <w:szCs w:val="22"/>
          <w:lang w:eastAsia="en-US"/>
        </w:rPr>
      </w:pPr>
    </w:p>
    <w:p w14:paraId="463BADD5" w14:textId="77777777" w:rsidR="00794EC0" w:rsidRDefault="00794EC0" w:rsidP="002E1F53">
      <w:pPr>
        <w:pStyle w:val="Default"/>
        <w:jc w:val="both"/>
        <w:rPr>
          <w:rFonts w:ascii="Calibri" w:hAnsi="Calibri" w:cs="Calibri"/>
          <w:color w:val="auto"/>
          <w:sz w:val="22"/>
          <w:szCs w:val="22"/>
          <w:lang w:eastAsia="en-US"/>
        </w:rPr>
      </w:pPr>
    </w:p>
    <w:p w14:paraId="6918DA42" w14:textId="77777777" w:rsidR="00794EC0" w:rsidRDefault="00794EC0" w:rsidP="002E1F53">
      <w:pPr>
        <w:pStyle w:val="Default"/>
        <w:jc w:val="both"/>
        <w:rPr>
          <w:rFonts w:ascii="Calibri" w:hAnsi="Calibri" w:cs="Calibri"/>
          <w:color w:val="auto"/>
          <w:sz w:val="22"/>
          <w:szCs w:val="22"/>
          <w:lang w:eastAsia="en-US"/>
        </w:rPr>
      </w:pPr>
    </w:p>
    <w:p w14:paraId="5B6CB77C" w14:textId="77777777" w:rsidR="00794EC0" w:rsidRDefault="00794EC0" w:rsidP="002E1F53">
      <w:pPr>
        <w:pStyle w:val="Default"/>
        <w:jc w:val="both"/>
        <w:rPr>
          <w:rFonts w:ascii="Calibri" w:hAnsi="Calibri" w:cs="Calibri"/>
          <w:color w:val="auto"/>
          <w:sz w:val="22"/>
          <w:szCs w:val="22"/>
          <w:lang w:eastAsia="en-US"/>
        </w:rPr>
      </w:pPr>
    </w:p>
    <w:p w14:paraId="37ABD560" w14:textId="77777777" w:rsidR="00794EC0" w:rsidRDefault="00794EC0" w:rsidP="002E1F53">
      <w:pPr>
        <w:pStyle w:val="Default"/>
        <w:jc w:val="both"/>
        <w:rPr>
          <w:rFonts w:ascii="Calibri" w:hAnsi="Calibri" w:cs="Calibri"/>
          <w:color w:val="auto"/>
          <w:sz w:val="22"/>
          <w:szCs w:val="22"/>
          <w:lang w:eastAsia="en-US"/>
        </w:rPr>
      </w:pPr>
    </w:p>
    <w:p w14:paraId="6F369689" w14:textId="74C7FFC3" w:rsidR="002E1F53" w:rsidRPr="004620C5" w:rsidRDefault="002E1F53" w:rsidP="002E1F53">
      <w:pPr>
        <w:pStyle w:val="Default"/>
        <w:jc w:val="both"/>
        <w:rPr>
          <w:rFonts w:ascii="Calibri" w:hAnsi="Calibri" w:cs="Calibri"/>
          <w:color w:val="auto"/>
          <w:sz w:val="22"/>
          <w:szCs w:val="22"/>
          <w:lang w:eastAsia="en-US"/>
        </w:rPr>
      </w:pPr>
      <w:r w:rsidRPr="004620C5">
        <w:rPr>
          <w:rFonts w:ascii="Calibri" w:hAnsi="Calibri" w:cs="Calibri"/>
          <w:color w:val="auto"/>
          <w:sz w:val="22"/>
          <w:szCs w:val="22"/>
          <w:lang w:eastAsia="en-US"/>
        </w:rPr>
        <w:t>El ingreso laboral real per cápita tuvo un incremento anual de 8.9%, al pasar de $3,076.13 a $3,350.84, entre el segundo trimestre de 2023 y el segundo trimestre de 2024. Lo anterior se vio acompañado de un aumento anual en el número de personas ocupadas de 805.2 mil.</w:t>
      </w:r>
    </w:p>
    <w:p w14:paraId="6E5ED875" w14:textId="77777777" w:rsidR="002E1F53" w:rsidRPr="004620C5" w:rsidRDefault="002E1F53" w:rsidP="002E1F53">
      <w:pPr>
        <w:pStyle w:val="Default"/>
        <w:jc w:val="both"/>
        <w:rPr>
          <w:rFonts w:ascii="Calibri" w:hAnsi="Calibri" w:cs="Calibri"/>
          <w:color w:val="auto"/>
          <w:sz w:val="22"/>
          <w:szCs w:val="22"/>
          <w:lang w:eastAsia="en-US"/>
        </w:rPr>
      </w:pPr>
    </w:p>
    <w:p w14:paraId="50C9CF3F" w14:textId="21706CAA" w:rsidR="002E1F53" w:rsidRPr="004620C5" w:rsidRDefault="002E1F53" w:rsidP="002E1F53">
      <w:pPr>
        <w:pStyle w:val="Default"/>
        <w:jc w:val="both"/>
        <w:rPr>
          <w:rFonts w:ascii="Calibri" w:hAnsi="Calibri" w:cs="Calibri"/>
          <w:color w:val="auto"/>
          <w:sz w:val="22"/>
          <w:szCs w:val="22"/>
          <w:lang w:eastAsia="en-US"/>
        </w:rPr>
      </w:pPr>
      <w:r w:rsidRPr="004620C5">
        <w:rPr>
          <w:rFonts w:ascii="Calibri" w:hAnsi="Calibri" w:cs="Calibri"/>
          <w:color w:val="auto"/>
          <w:sz w:val="22"/>
          <w:szCs w:val="22"/>
          <w:lang w:eastAsia="en-US"/>
        </w:rPr>
        <w:t xml:space="preserve">La inflación general anual promedio del segundo trimestre de 2024 se ubicó en 4.8%. Esta fue 0.9 puntos porcentuales inferior a la del segundo trimestre de 2023 (5.7%) y 0.2 puntos porcentuales superior a la del primer trimestre de 2024 (4.6%). </w:t>
      </w:r>
    </w:p>
    <w:p w14:paraId="5173382E" w14:textId="77777777" w:rsidR="00F4110D" w:rsidRPr="004620C5" w:rsidRDefault="00F4110D" w:rsidP="002E1F53">
      <w:pPr>
        <w:pStyle w:val="Default"/>
        <w:jc w:val="both"/>
        <w:rPr>
          <w:rFonts w:ascii="Calibri" w:hAnsi="Calibri" w:cs="Calibri"/>
          <w:color w:val="auto"/>
          <w:sz w:val="22"/>
          <w:szCs w:val="22"/>
          <w:lang w:eastAsia="en-US"/>
        </w:rPr>
      </w:pPr>
    </w:p>
    <w:p w14:paraId="65A6184F" w14:textId="4C3F1533" w:rsidR="00F4110D" w:rsidRPr="004620C5" w:rsidRDefault="00F4110D" w:rsidP="002E1F53">
      <w:pPr>
        <w:pStyle w:val="Default"/>
        <w:jc w:val="both"/>
        <w:rPr>
          <w:rFonts w:ascii="Calibri" w:hAnsi="Calibri" w:cs="Calibri"/>
          <w:color w:val="auto"/>
          <w:sz w:val="22"/>
          <w:szCs w:val="22"/>
          <w:lang w:eastAsia="en-US"/>
        </w:rPr>
      </w:pPr>
      <w:r w:rsidRPr="004620C5">
        <w:rPr>
          <w:rFonts w:ascii="Calibri" w:hAnsi="Calibri" w:cs="Calibri"/>
          <w:color w:val="auto"/>
          <w:sz w:val="22"/>
          <w:szCs w:val="22"/>
          <w:lang w:eastAsia="en-US"/>
        </w:rPr>
        <w:t>De manera anual, la pobreza laboral disminuyó en el ámbito urbano y rural, al pasar de 33.9% a 30.9% (3.0 puntos porcentuales) y de 50.2% a 47.6% (alrededor de 2.7 puntos porcentuales), respectivamente.</w:t>
      </w:r>
    </w:p>
    <w:p w14:paraId="3A7E922B" w14:textId="77777777" w:rsidR="00F4110D" w:rsidRPr="004620C5" w:rsidRDefault="00F4110D" w:rsidP="002E1F53">
      <w:pPr>
        <w:pStyle w:val="Default"/>
        <w:jc w:val="both"/>
        <w:rPr>
          <w:rFonts w:ascii="Calibri" w:hAnsi="Calibri" w:cs="Calibri"/>
          <w:color w:val="auto"/>
          <w:sz w:val="22"/>
          <w:szCs w:val="22"/>
          <w:lang w:eastAsia="en-US"/>
        </w:rPr>
      </w:pPr>
    </w:p>
    <w:p w14:paraId="1A42E88D" w14:textId="3E5ABFD8" w:rsidR="00F4110D" w:rsidRPr="004620C5" w:rsidRDefault="00F4110D" w:rsidP="002E1F53">
      <w:pPr>
        <w:pStyle w:val="Default"/>
        <w:jc w:val="both"/>
        <w:rPr>
          <w:rFonts w:ascii="Calibri" w:hAnsi="Calibri" w:cs="Calibri"/>
          <w:color w:val="auto"/>
          <w:sz w:val="22"/>
          <w:szCs w:val="22"/>
          <w:lang w:eastAsia="en-US"/>
        </w:rPr>
      </w:pPr>
      <w:r w:rsidRPr="004620C5">
        <w:rPr>
          <w:rFonts w:ascii="Calibri" w:hAnsi="Calibri" w:cs="Calibri"/>
          <w:color w:val="auto"/>
          <w:sz w:val="22"/>
          <w:szCs w:val="22"/>
          <w:lang w:eastAsia="en-US"/>
        </w:rPr>
        <w:t>La disminución entre el segundo trimestre de 2023 y el segundo trimestre de 2024 en la pobreza laboral se dio en un contexto donde el valor monetario de la canasta alimentaria mostró incrementos de 5.8% y 5.7% en los ámbitos rural y urbano, respectivamente, mientras que la inflación general anual promedio se ubicó en 4.8%.</w:t>
      </w:r>
    </w:p>
    <w:p w14:paraId="2C00174C" w14:textId="77777777" w:rsidR="002E1F53" w:rsidRDefault="002E1F53" w:rsidP="00E16610">
      <w:pPr>
        <w:pStyle w:val="Default"/>
        <w:jc w:val="both"/>
        <w:rPr>
          <w:rFonts w:ascii="Calibri" w:hAnsi="Calibri" w:cs="Calibri"/>
          <w:color w:val="auto"/>
          <w:sz w:val="22"/>
          <w:szCs w:val="22"/>
          <w:lang w:eastAsia="en-US"/>
        </w:rPr>
      </w:pPr>
    </w:p>
    <w:p w14:paraId="7B5D4987" w14:textId="5E49A8DB" w:rsidR="002E1F53" w:rsidRPr="00F4110D" w:rsidRDefault="002E1F53" w:rsidP="00E16610">
      <w:pPr>
        <w:pStyle w:val="Default"/>
        <w:jc w:val="both"/>
        <w:rPr>
          <w:rFonts w:ascii="Calibri" w:hAnsi="Calibri" w:cs="Calibri"/>
          <w:color w:val="auto"/>
          <w:sz w:val="18"/>
          <w:szCs w:val="18"/>
          <w:lang w:eastAsia="en-US"/>
        </w:rPr>
      </w:pPr>
      <w:r w:rsidRPr="00F4110D">
        <w:rPr>
          <w:rFonts w:ascii="Calibri" w:hAnsi="Calibri" w:cs="Calibri"/>
          <w:color w:val="auto"/>
          <w:sz w:val="18"/>
          <w:szCs w:val="18"/>
          <w:lang w:eastAsia="en-US"/>
        </w:rPr>
        <w:t xml:space="preserve">Fuente: </w:t>
      </w:r>
      <w:hyperlink r:id="rId12" w:history="1">
        <w:r w:rsidRPr="00F4110D">
          <w:rPr>
            <w:rStyle w:val="Hipervnculo"/>
            <w:rFonts w:ascii="Calibri" w:hAnsi="Calibri" w:cs="Calibri"/>
            <w:sz w:val="18"/>
            <w:szCs w:val="18"/>
            <w:lang w:eastAsia="en-US"/>
          </w:rPr>
          <w:t>https://www.coneval.org.mx/SalaPrensa/Comunicadosprensa/Documents/2024/Comunicado_11_ITLP_2T_2024.pdf</w:t>
        </w:r>
      </w:hyperlink>
    </w:p>
    <w:p w14:paraId="6C532222" w14:textId="77777777" w:rsidR="002E1F53" w:rsidRPr="00F4110D" w:rsidRDefault="002E1F53" w:rsidP="00E16610">
      <w:pPr>
        <w:pStyle w:val="Default"/>
        <w:jc w:val="both"/>
        <w:rPr>
          <w:rFonts w:ascii="Calibri" w:hAnsi="Calibri" w:cs="Calibri"/>
          <w:color w:val="auto"/>
          <w:sz w:val="18"/>
          <w:szCs w:val="18"/>
          <w:lang w:eastAsia="en-US"/>
        </w:rPr>
      </w:pPr>
    </w:p>
    <w:p w14:paraId="488A78DE" w14:textId="77777777" w:rsidR="00E16610" w:rsidRPr="00D57D50" w:rsidRDefault="00E16610" w:rsidP="00E16610">
      <w:pPr>
        <w:rPr>
          <w:b/>
          <w:bCs/>
        </w:rPr>
      </w:pPr>
      <w:bookmarkStart w:id="4" w:name="_Hlk180413464"/>
      <w:r w:rsidRPr="00D57D50">
        <w:rPr>
          <w:b/>
          <w:bCs/>
        </w:rPr>
        <w:t>Actividad económica estatal</w:t>
      </w:r>
    </w:p>
    <w:bookmarkEnd w:id="4"/>
    <w:p w14:paraId="034BBCEF" w14:textId="77777777" w:rsidR="00E16610" w:rsidRDefault="00E16610" w:rsidP="00E16610">
      <w:pPr>
        <w:jc w:val="both"/>
      </w:pPr>
      <w:r>
        <w:t>Para conocer la evolución más reciente de la actividad económica de las Entidades Federativas, el INEGI publica el Indicador Trimestral de la Actividad Económica Estatal (ITAEE).  Los resultados del ITAEE se encuentran homologados entre el PIB Trimestral Nacional, PIB Estatal y con las cifras del Sistema de Cuentas Nacionales de México (SCNM), cuyo año base es 2018, con el fin de garantizar la comparabilidad regional y nacional.</w:t>
      </w:r>
    </w:p>
    <w:p w14:paraId="75EBB09D" w14:textId="77777777" w:rsidR="00E16610" w:rsidRDefault="00E16610" w:rsidP="00E16610">
      <w:pPr>
        <w:jc w:val="both"/>
      </w:pPr>
      <w:r>
        <w:t>Le siguieron las primarias (sector Agricultura, cría y explotación de animales, aprovechamiento forestal, pesca y caza) con una contribución del 0.04 por ciento, finalmente las actividades secundarias presentaron una disminución del (-) 1.1 por ciento en el total durante dicho período.</w:t>
      </w:r>
    </w:p>
    <w:p w14:paraId="4D7227DF" w14:textId="77777777" w:rsidR="00E16610" w:rsidRDefault="00E16610" w:rsidP="00E16610">
      <w:pPr>
        <w:pStyle w:val="Default"/>
        <w:jc w:val="both"/>
        <w:rPr>
          <w:rFonts w:ascii="Calibri" w:hAnsi="Calibri" w:cs="Calibri"/>
          <w:color w:val="auto"/>
          <w:sz w:val="22"/>
          <w:szCs w:val="22"/>
          <w:lang w:eastAsia="en-US"/>
        </w:rPr>
      </w:pPr>
    </w:p>
    <w:p w14:paraId="79F85FFB" w14:textId="77777777" w:rsidR="00794EC0" w:rsidRDefault="00794EC0" w:rsidP="00E16610">
      <w:pPr>
        <w:jc w:val="both"/>
        <w:rPr>
          <w:bCs/>
        </w:rPr>
      </w:pPr>
    </w:p>
    <w:p w14:paraId="00B92153" w14:textId="77777777" w:rsidR="00794EC0" w:rsidRDefault="00794EC0" w:rsidP="00E16610">
      <w:pPr>
        <w:jc w:val="both"/>
        <w:rPr>
          <w:bCs/>
        </w:rPr>
      </w:pPr>
    </w:p>
    <w:p w14:paraId="08F79748" w14:textId="77777777" w:rsidR="00794EC0" w:rsidRDefault="00794EC0" w:rsidP="00E16610">
      <w:pPr>
        <w:jc w:val="both"/>
        <w:rPr>
          <w:bCs/>
        </w:rPr>
      </w:pPr>
    </w:p>
    <w:p w14:paraId="6DC888C3" w14:textId="77777777" w:rsidR="00794EC0" w:rsidRDefault="00794EC0" w:rsidP="00E16610">
      <w:pPr>
        <w:jc w:val="both"/>
        <w:rPr>
          <w:bCs/>
        </w:rPr>
      </w:pPr>
    </w:p>
    <w:p w14:paraId="2F707E03" w14:textId="1D735D21" w:rsidR="00E16610" w:rsidRDefault="00E16610" w:rsidP="00E16610">
      <w:pPr>
        <w:jc w:val="both"/>
        <w:rPr>
          <w:rFonts w:cs="Calibri"/>
        </w:rPr>
      </w:pPr>
      <w:r w:rsidRPr="00CC4C09">
        <w:rPr>
          <w:bCs/>
        </w:rPr>
        <w:t xml:space="preserve">Para el ejercicio 2024 </w:t>
      </w:r>
      <w:r w:rsidR="004620C5">
        <w:rPr>
          <w:bCs/>
        </w:rPr>
        <w:t xml:space="preserve">las actividades </w:t>
      </w:r>
      <w:r w:rsidR="004620C5">
        <w:t>primarias (sector Agricultura, cría y explotación de animales, aprovechamiento forestal, pesca y caza)</w:t>
      </w:r>
      <w:r w:rsidRPr="00CC4C09">
        <w:rPr>
          <w:bCs/>
        </w:rPr>
        <w:t xml:space="preserve"> s</w:t>
      </w:r>
      <w:r>
        <w:rPr>
          <w:bCs/>
        </w:rPr>
        <w:t xml:space="preserve">e </w:t>
      </w:r>
      <w:r w:rsidR="004620C5">
        <w:rPr>
          <w:bCs/>
        </w:rPr>
        <w:t>han mantenido</w:t>
      </w:r>
      <w:r>
        <w:rPr>
          <w:bCs/>
        </w:rPr>
        <w:t xml:space="preserve"> en términos generales</w:t>
      </w:r>
      <w:r w:rsidRPr="00CC4C09">
        <w:rPr>
          <w:bCs/>
        </w:rPr>
        <w:t xml:space="preserve"> considerando </w:t>
      </w:r>
      <w:r w:rsidRPr="00CC4C09">
        <w:rPr>
          <w:rFonts w:cs="Calibri"/>
        </w:rPr>
        <w:t>un contexto económico global cada vez más desafiante, mantener unas finanzas públicas sólidas y equilibradas se ha convertido en una prioridad para garantizar el crecimiento económico sostenible, el bienestar de la población y la estabilidad económica del Municipio.</w:t>
      </w:r>
    </w:p>
    <w:p w14:paraId="718DF3D9" w14:textId="3CC95587" w:rsidR="00F4110D" w:rsidRPr="004620C5" w:rsidRDefault="00F4110D" w:rsidP="00F4110D">
      <w:pPr>
        <w:jc w:val="both"/>
        <w:rPr>
          <w:rFonts w:cs="Calibri"/>
        </w:rPr>
      </w:pPr>
      <w:r w:rsidRPr="004620C5">
        <w:rPr>
          <w:rFonts w:cs="Calibri"/>
        </w:rPr>
        <w:t>El estado de Guanajuato está integrado a la economía de América del Norte a través de su industria manufacturera y agroindustrial. Su crecimiento ha sido impulsado por el T-MEC y, más recientemente, por la relocalización de industrias que buscan acercar su producción al mercado más grande y próspero del mundo.</w:t>
      </w:r>
    </w:p>
    <w:p w14:paraId="6DD0C3F1" w14:textId="0AEFD575" w:rsidR="00F4110D" w:rsidRPr="004620C5" w:rsidRDefault="00F4110D" w:rsidP="00F4110D">
      <w:pPr>
        <w:jc w:val="both"/>
        <w:rPr>
          <w:rFonts w:cs="Calibri"/>
        </w:rPr>
      </w:pPr>
      <w:r w:rsidRPr="004620C5">
        <w:rPr>
          <w:rFonts w:cs="Calibri"/>
        </w:rPr>
        <w:t xml:space="preserve">En este sentido, en el cuarto trimestre de 2023, el Indicador Trimestral de la Actividad Económica de Guanajuato alcanzó 104.8 puntos, ajustados por </w:t>
      </w:r>
      <w:r w:rsidR="004620C5" w:rsidRPr="004620C5">
        <w:rPr>
          <w:rFonts w:cs="Calibri"/>
        </w:rPr>
        <w:t>estacionalidad, marcando</w:t>
      </w:r>
      <w:r w:rsidRPr="004620C5">
        <w:rPr>
          <w:rFonts w:cs="Calibri"/>
        </w:rPr>
        <w:t xml:space="preserve"> el nivel más alto desde que se tienen registros. Este resultado refleja un crecimiento del 2.6% en comparación con el trimestre anterior y del 3.5% respecto al mismo periodo de 2022.</w:t>
      </w:r>
    </w:p>
    <w:p w14:paraId="799CEB74" w14:textId="7CF9D4FB" w:rsidR="00F4110D" w:rsidRPr="004620C5" w:rsidRDefault="00F4110D" w:rsidP="00F4110D">
      <w:pPr>
        <w:jc w:val="both"/>
        <w:rPr>
          <w:rFonts w:cs="Calibri"/>
        </w:rPr>
      </w:pPr>
      <w:r w:rsidRPr="004620C5">
        <w:rPr>
          <w:rFonts w:cs="Calibri"/>
        </w:rPr>
        <w:t>Al analizar la variación anual de este indicador, muestra que las actividades terciarias fueron las principales responsables de tal crecimiento, con una contribución del 2.0%. Las actividades secundarias aportaron un 1.2% y las primarias, un 0.4%.</w:t>
      </w:r>
    </w:p>
    <w:p w14:paraId="74EF5EE1" w14:textId="61CC74E9" w:rsidR="004620C5" w:rsidRPr="00F4110D" w:rsidRDefault="004620C5" w:rsidP="00F4110D">
      <w:pPr>
        <w:jc w:val="both"/>
        <w:rPr>
          <w:rFonts w:cs="Calibri"/>
          <w:color w:val="4472C4" w:themeColor="accent5"/>
        </w:rPr>
      </w:pPr>
      <w:r w:rsidRPr="00F4110D">
        <w:rPr>
          <w:rFonts w:cs="Calibri"/>
          <w:sz w:val="18"/>
          <w:szCs w:val="18"/>
        </w:rPr>
        <w:t>Fuente:</w:t>
      </w:r>
      <w:r>
        <w:rPr>
          <w:rFonts w:cs="Calibri"/>
          <w:sz w:val="18"/>
          <w:szCs w:val="18"/>
        </w:rPr>
        <w:t xml:space="preserve"> </w:t>
      </w:r>
      <w:r w:rsidRPr="004620C5">
        <w:rPr>
          <w:rFonts w:cs="Calibri"/>
          <w:sz w:val="18"/>
          <w:szCs w:val="18"/>
        </w:rPr>
        <w:t>https://portaldgi.guanajuato.gob.mx/CuentaPublica/public/main</w:t>
      </w:r>
    </w:p>
    <w:p w14:paraId="5CC5019C" w14:textId="77777777" w:rsidR="00F4110D" w:rsidRPr="004620C5" w:rsidRDefault="00F4110D" w:rsidP="00F4110D">
      <w:pPr>
        <w:jc w:val="both"/>
        <w:rPr>
          <w:b/>
        </w:rPr>
      </w:pPr>
      <w:r w:rsidRPr="004620C5">
        <w:rPr>
          <w:b/>
        </w:rPr>
        <w:t>Comercio exterior del Estado</w:t>
      </w:r>
    </w:p>
    <w:p w14:paraId="37B422AA" w14:textId="27F784FB" w:rsidR="00F4110D" w:rsidRPr="004620C5" w:rsidRDefault="00F4110D" w:rsidP="00F4110D">
      <w:pPr>
        <w:jc w:val="both"/>
        <w:rPr>
          <w:bCs/>
        </w:rPr>
      </w:pPr>
      <w:r w:rsidRPr="004620C5">
        <w:rPr>
          <w:bCs/>
        </w:rPr>
        <w:t xml:space="preserve">El Estado de Guanajuato alcanzó 8.95 mil millones de dólares en exportaciones durante el primer trimestre de </w:t>
      </w:r>
      <w:r w:rsidR="004620C5" w:rsidRPr="004620C5">
        <w:rPr>
          <w:bCs/>
        </w:rPr>
        <w:t>2024, la</w:t>
      </w:r>
      <w:r w:rsidRPr="004620C5">
        <w:rPr>
          <w:bCs/>
        </w:rPr>
        <w:t xml:space="preserve"> cifra más alta reportada en un primer trimestre desde que existen registros. Así, en este periodo, Guanajuato se mantiene entre los diez estados con mayores exportaciones, ocupando el quinto lugar a nivel nacional y el primero entre los estados sin frontera ni litoral, incluso superando a Tamaulipas.</w:t>
      </w:r>
    </w:p>
    <w:p w14:paraId="14A2B5F4" w14:textId="4BF61020" w:rsidR="00F4110D" w:rsidRPr="004620C5" w:rsidRDefault="00F4110D" w:rsidP="00F4110D">
      <w:pPr>
        <w:jc w:val="both"/>
        <w:rPr>
          <w:bCs/>
        </w:rPr>
      </w:pPr>
      <w:r w:rsidRPr="004620C5">
        <w:rPr>
          <w:bCs/>
        </w:rPr>
        <w:t xml:space="preserve">El dinamismo del comercio internacional se debe en gran medida al crecimiento de la inversión extranjera, de acuerdo la Secretaría de </w:t>
      </w:r>
      <w:r w:rsidR="004620C5" w:rsidRPr="004620C5">
        <w:rPr>
          <w:bCs/>
        </w:rPr>
        <w:t>Economía, la</w:t>
      </w:r>
      <w:r w:rsidRPr="004620C5">
        <w:rPr>
          <w:bCs/>
        </w:rPr>
        <w:t xml:space="preserve"> inversión extranjera directa acumulada en Guanajuato entre 2006 y el primer trimestre de 2024 alcanzó los 22 mil 888.9 millones de dólares, de los cuales el 31% proviene de los Estados Unidos seguido por Japón con un 25% y en tercer lugar España con 10% del total.</w:t>
      </w:r>
    </w:p>
    <w:p w14:paraId="1FB41D8D" w14:textId="412B19DF" w:rsidR="00F4110D" w:rsidRPr="004620C5" w:rsidRDefault="00F4110D" w:rsidP="00F4110D">
      <w:pPr>
        <w:jc w:val="both"/>
        <w:rPr>
          <w:bCs/>
        </w:rPr>
      </w:pPr>
      <w:r w:rsidRPr="004620C5">
        <w:rPr>
          <w:bCs/>
        </w:rPr>
        <w:lastRenderedPageBreak/>
        <w:t>Dicha inversión se ha concentrado principalmente en la industria manufacturera, particularmente en la fabricación de equipo de transporte, consolidando a Guanajuato como el clúster automotriz del Bajío y parte de la cadena de insumo producto de dicho sector para América del Norte.</w:t>
      </w:r>
    </w:p>
    <w:p w14:paraId="08136E94" w14:textId="40BF43B8" w:rsidR="007D1E76" w:rsidRPr="000C3365" w:rsidRDefault="009736CB" w:rsidP="000C3365">
      <w:pPr>
        <w:pStyle w:val="Ttulo2"/>
        <w:rPr>
          <w:rFonts w:asciiTheme="minorHAnsi" w:hAnsiTheme="minorHAnsi" w:cstheme="minorHAnsi"/>
          <w:b/>
          <w:color w:val="auto"/>
          <w:sz w:val="22"/>
        </w:rPr>
      </w:pPr>
      <w:bookmarkStart w:id="5" w:name="_Toc188953065"/>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5"/>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51BD62F" w14:textId="77777777" w:rsidR="00BA34B4" w:rsidRDefault="00BA34B4" w:rsidP="00BA34B4">
      <w:pPr>
        <w:tabs>
          <w:tab w:val="left" w:leader="underscore" w:pos="9923"/>
        </w:tabs>
        <w:spacing w:after="0"/>
        <w:jc w:val="both"/>
        <w:rPr>
          <w:rFonts w:cs="Arial"/>
          <w:b/>
          <w:bCs/>
          <w:sz w:val="20"/>
          <w:szCs w:val="20"/>
        </w:rPr>
      </w:pPr>
    </w:p>
    <w:p w14:paraId="26DBB0D6" w14:textId="3A80E98A" w:rsidR="00BA34B4" w:rsidRPr="005B478F" w:rsidRDefault="00BA34B4" w:rsidP="005B478F">
      <w:pPr>
        <w:tabs>
          <w:tab w:val="left" w:leader="underscore" w:pos="9923"/>
        </w:tabs>
        <w:spacing w:after="0"/>
        <w:jc w:val="both"/>
        <w:rPr>
          <w:rFonts w:cs="Arial"/>
          <w:b/>
          <w:bCs/>
        </w:rPr>
      </w:pPr>
      <w:bookmarkStart w:id="6" w:name="_Toc188864625"/>
      <w:r w:rsidRPr="005B478F">
        <w:rPr>
          <w:rFonts w:cs="Arial"/>
          <w:b/>
          <w:bCs/>
        </w:rPr>
        <w:t>Misión</w:t>
      </w:r>
      <w:r w:rsidR="00504B51" w:rsidRPr="005B478F">
        <w:rPr>
          <w:rFonts w:cs="Arial"/>
          <w:b/>
          <w:bCs/>
        </w:rPr>
        <w:t xml:space="preserve"> </w:t>
      </w:r>
      <w:bookmarkEnd w:id="6"/>
    </w:p>
    <w:p w14:paraId="5A0119DC" w14:textId="77777777" w:rsidR="00D5630A" w:rsidRDefault="00D5630A" w:rsidP="00BA34B4">
      <w:pPr>
        <w:spacing w:after="0"/>
        <w:jc w:val="both"/>
        <w:rPr>
          <w:rFonts w:cs="Arial"/>
        </w:rPr>
      </w:pPr>
    </w:p>
    <w:p w14:paraId="16DAD2C2" w14:textId="77777777" w:rsidR="00BA34B4" w:rsidRPr="006A039E" w:rsidRDefault="00BA34B4" w:rsidP="00BA34B4">
      <w:pPr>
        <w:spacing w:after="0"/>
        <w:jc w:val="both"/>
        <w:rPr>
          <w:rFonts w:cs="Arial"/>
        </w:rPr>
      </w:pPr>
      <w:r w:rsidRPr="006A039E">
        <w:rPr>
          <w:rFonts w:cs="Arial"/>
        </w:rPr>
        <w:t>Somos el gobierno de la Capital del Estado y Ciudad Patrimonio Cultural de la Humanidad por la UNESCO, así como la Capital Cervantina de Am</w:t>
      </w:r>
      <w:r w:rsidRPr="00B3744E">
        <w:rPr>
          <w:rFonts w:cs="Arial"/>
        </w:rPr>
        <w:t>érica, Ciudad en continuo creci</w:t>
      </w:r>
      <w:r w:rsidRPr="006A039E">
        <w:rPr>
          <w:rFonts w:cs="Arial"/>
        </w:rPr>
        <w:t>miento, con una zona urbana que va más allá del Centro Histórico, de los edificios históricos, túneles, tradicionales callejones, además de localidade</w:t>
      </w:r>
      <w:r w:rsidRPr="00B3744E">
        <w:rPr>
          <w:rFonts w:cs="Arial"/>
        </w:rPr>
        <w:t>s y comunidades que se han inte</w:t>
      </w:r>
      <w:r w:rsidRPr="006A039E">
        <w:rPr>
          <w:rFonts w:cs="Arial"/>
        </w:rPr>
        <w:t xml:space="preserve">grado al desarrollo del municipio, a través de la participación de sus habitantes. </w:t>
      </w:r>
    </w:p>
    <w:p w14:paraId="63D40D2E" w14:textId="77777777" w:rsidR="00BA34B4" w:rsidRDefault="00BA34B4" w:rsidP="00BA34B4">
      <w:pPr>
        <w:spacing w:after="0"/>
        <w:jc w:val="both"/>
        <w:rPr>
          <w:rFonts w:cs="Arial"/>
        </w:rPr>
      </w:pPr>
    </w:p>
    <w:p w14:paraId="590A7A19" w14:textId="77777777" w:rsidR="00BA34B4" w:rsidRPr="006A039E" w:rsidRDefault="00BA34B4" w:rsidP="00BA34B4">
      <w:pPr>
        <w:spacing w:after="0"/>
        <w:jc w:val="both"/>
        <w:rPr>
          <w:rFonts w:cs="Arial"/>
        </w:rPr>
      </w:pPr>
      <w:r w:rsidRPr="006A039E">
        <w:rPr>
          <w:rFonts w:cs="Arial"/>
        </w:rPr>
        <w:t>Nuestro quehacer va más allá de la tradicional prestación de</w:t>
      </w:r>
      <w:r w:rsidRPr="00B3744E">
        <w:rPr>
          <w:rFonts w:cs="Arial"/>
        </w:rPr>
        <w:t xml:space="preserve"> servicios públicos, en la admi</w:t>
      </w:r>
      <w:r w:rsidRPr="006A039E">
        <w:rPr>
          <w:rFonts w:cs="Arial"/>
        </w:rPr>
        <w:t>nistración municipal trabajan día a día funcionarias y funci</w:t>
      </w:r>
      <w:r w:rsidRPr="00B3744E">
        <w:rPr>
          <w:rFonts w:cs="Arial"/>
        </w:rPr>
        <w:t>onarios con capacidades, aptitu</w:t>
      </w:r>
      <w:r w:rsidRPr="006A039E">
        <w:rPr>
          <w:rFonts w:cs="Arial"/>
        </w:rPr>
        <w:t xml:space="preserve">des y actitudes para la gestión de resultados positivos que impactan en la calidad de vida de los 194 500 habitantes del municipio. </w:t>
      </w:r>
    </w:p>
    <w:p w14:paraId="01FAE980" w14:textId="77777777" w:rsidR="00BA34B4" w:rsidRDefault="00BA34B4" w:rsidP="00BA34B4">
      <w:pPr>
        <w:spacing w:after="0"/>
        <w:jc w:val="both"/>
        <w:rPr>
          <w:rFonts w:cs="Arial"/>
        </w:rPr>
      </w:pPr>
    </w:p>
    <w:p w14:paraId="2BB589A8" w14:textId="72C6F12E" w:rsidR="00BA34B4" w:rsidRPr="006A039E" w:rsidRDefault="00E16610" w:rsidP="00BA34B4">
      <w:pPr>
        <w:spacing w:after="0"/>
        <w:jc w:val="both"/>
        <w:rPr>
          <w:rFonts w:cs="Arial"/>
        </w:rPr>
      </w:pPr>
      <w:r>
        <w:rPr>
          <w:rFonts w:cs="Arial"/>
        </w:rPr>
        <w:t>E</w:t>
      </w:r>
      <w:r w:rsidR="00BA34B4" w:rsidRPr="006A039E">
        <w:rPr>
          <w:rFonts w:cs="Arial"/>
        </w:rPr>
        <w:t xml:space="preserve">l gran reto de Guanajuato Capital es, por un lado, preservar la grandeza de nuestro Centro Histórico, difundiendo nuestro patrimonio para que cada vez más personas nos visiten; y, por otro lado, construir una zona sur y rural ordenada, con seguridad, buenos servicios, con movilidad, y atractiva para la atracción de inversiones. </w:t>
      </w:r>
    </w:p>
    <w:p w14:paraId="6E6EC6B3" w14:textId="77777777" w:rsidR="00BA34B4" w:rsidRDefault="00BA34B4" w:rsidP="00BA34B4">
      <w:pPr>
        <w:spacing w:after="0"/>
        <w:jc w:val="both"/>
        <w:rPr>
          <w:rFonts w:cs="Arial"/>
        </w:rPr>
      </w:pPr>
    </w:p>
    <w:p w14:paraId="2AC9A49C" w14:textId="7E8C2028" w:rsidR="00BA34B4" w:rsidRDefault="00BA34B4" w:rsidP="00BA34B4">
      <w:pPr>
        <w:spacing w:after="0"/>
        <w:jc w:val="both"/>
        <w:rPr>
          <w:rFonts w:cs="Arial"/>
        </w:rPr>
      </w:pPr>
      <w:r w:rsidRPr="00B3744E">
        <w:rPr>
          <w:rFonts w:cs="Arial"/>
        </w:rPr>
        <w:t>Por lo anterior, nuestra Misión es continuar trabajando por una capital segura, próspera, ordenada, de bienestar y con un buen gobierno, innovador y transparente. Por supuesto, adaptándonos a la coyuntura que vive nuestra ciudad, México, y todo el mundo.</w:t>
      </w:r>
    </w:p>
    <w:p w14:paraId="27F4BE1D" w14:textId="77777777" w:rsidR="00BA34B4" w:rsidRDefault="00BA34B4" w:rsidP="00BA34B4">
      <w:pPr>
        <w:spacing w:after="0"/>
        <w:jc w:val="both"/>
        <w:rPr>
          <w:rFonts w:cs="Arial"/>
        </w:rPr>
      </w:pPr>
    </w:p>
    <w:p w14:paraId="551F566A" w14:textId="77777777" w:rsidR="00E16610" w:rsidRDefault="00E16610" w:rsidP="00BA34B4">
      <w:pPr>
        <w:spacing w:after="0"/>
        <w:jc w:val="both"/>
        <w:rPr>
          <w:rFonts w:cs="Arial"/>
        </w:rPr>
      </w:pPr>
    </w:p>
    <w:p w14:paraId="2E42FF25" w14:textId="77777777" w:rsidR="00E16610" w:rsidRDefault="00E16610" w:rsidP="00BA34B4">
      <w:pPr>
        <w:spacing w:after="0"/>
        <w:jc w:val="both"/>
        <w:rPr>
          <w:rFonts w:cs="Arial"/>
        </w:rPr>
      </w:pPr>
    </w:p>
    <w:p w14:paraId="774A009C" w14:textId="77777777" w:rsidR="00D5630A" w:rsidRDefault="00D5630A" w:rsidP="00BA34B4">
      <w:pPr>
        <w:spacing w:after="0"/>
        <w:jc w:val="both"/>
        <w:rPr>
          <w:rFonts w:cs="Arial"/>
        </w:rPr>
      </w:pPr>
    </w:p>
    <w:p w14:paraId="5B42F1BA" w14:textId="77777777" w:rsidR="00E16610" w:rsidRDefault="00E16610" w:rsidP="00BA34B4">
      <w:pPr>
        <w:spacing w:after="0"/>
        <w:jc w:val="both"/>
        <w:rPr>
          <w:rFonts w:cs="Arial"/>
        </w:rPr>
      </w:pPr>
    </w:p>
    <w:p w14:paraId="6594647E" w14:textId="77777777" w:rsidR="00504B51" w:rsidRDefault="00504B51" w:rsidP="00BA34B4">
      <w:pPr>
        <w:tabs>
          <w:tab w:val="left" w:leader="underscore" w:pos="9923"/>
        </w:tabs>
        <w:spacing w:after="0"/>
        <w:jc w:val="both"/>
        <w:rPr>
          <w:rFonts w:cs="Arial"/>
          <w:b/>
          <w:bCs/>
          <w:sz w:val="20"/>
          <w:szCs w:val="20"/>
        </w:rPr>
      </w:pPr>
    </w:p>
    <w:p w14:paraId="7A2917FC" w14:textId="70D5F626" w:rsidR="00EC077C" w:rsidRPr="004620C5" w:rsidRDefault="00EC077C" w:rsidP="00EC077C">
      <w:pPr>
        <w:tabs>
          <w:tab w:val="left" w:leader="underscore" w:pos="9923"/>
        </w:tabs>
        <w:spacing w:after="0"/>
        <w:jc w:val="both"/>
        <w:rPr>
          <w:rFonts w:cs="Arial"/>
          <w:b/>
          <w:bCs/>
        </w:rPr>
      </w:pPr>
      <w:r w:rsidRPr="004620C5">
        <w:rPr>
          <w:rFonts w:cs="Arial"/>
          <w:b/>
          <w:bCs/>
        </w:rPr>
        <w:t>Vis</w:t>
      </w:r>
      <w:r w:rsidR="005B478F">
        <w:rPr>
          <w:rFonts w:cs="Arial"/>
          <w:b/>
          <w:bCs/>
        </w:rPr>
        <w:t>ión</w:t>
      </w:r>
    </w:p>
    <w:p w14:paraId="0A29A199" w14:textId="77777777" w:rsidR="00EC077C" w:rsidRPr="004620C5" w:rsidRDefault="00EC077C" w:rsidP="00BA34B4">
      <w:pPr>
        <w:tabs>
          <w:tab w:val="left" w:leader="underscore" w:pos="9923"/>
        </w:tabs>
        <w:spacing w:after="0"/>
        <w:jc w:val="both"/>
        <w:rPr>
          <w:rFonts w:cs="Arial"/>
          <w:b/>
          <w:bCs/>
        </w:rPr>
      </w:pPr>
    </w:p>
    <w:p w14:paraId="4AF43361" w14:textId="77777777" w:rsidR="00EC077C" w:rsidRPr="004620C5" w:rsidRDefault="00EC077C" w:rsidP="00EC077C">
      <w:pPr>
        <w:jc w:val="both"/>
      </w:pPr>
      <w:r w:rsidRPr="004620C5">
        <w:t>Un Guanajuato en el que sus habitantes se sienten orgullosos de vivir en un municipio seguro, limpio y ordenado.</w:t>
      </w:r>
    </w:p>
    <w:p w14:paraId="1563E4D6" w14:textId="77777777" w:rsidR="00EC077C" w:rsidRPr="004620C5" w:rsidRDefault="00EC077C" w:rsidP="00EC077C">
      <w:pPr>
        <w:jc w:val="both"/>
      </w:pPr>
      <w:r w:rsidRPr="004620C5">
        <w:t>Conscientes de la responsabilidad de tener una ciudad turística, minera, universitaria y patrimonio cultural de la humanidad.</w:t>
      </w:r>
    </w:p>
    <w:p w14:paraId="344E9BFE" w14:textId="77777777" w:rsidR="00EC077C" w:rsidRPr="004620C5" w:rsidRDefault="00EC077C" w:rsidP="00EC077C">
      <w:pPr>
        <w:jc w:val="both"/>
      </w:pPr>
      <w:r w:rsidRPr="004620C5">
        <w:t>Comprometidos con el respeto a sus semejantes, a los espacios públicos, al medio ambiente y a la autoridad.</w:t>
      </w:r>
    </w:p>
    <w:p w14:paraId="46C3263B" w14:textId="77777777" w:rsidR="00EC077C" w:rsidRPr="004620C5" w:rsidRDefault="00EC077C" w:rsidP="00EC077C">
      <w:pPr>
        <w:jc w:val="both"/>
      </w:pPr>
      <w:r w:rsidRPr="004620C5">
        <w:t>Participando en una gran alianza con su gobierno municipal para generar oportunidades de desarrollo en un marco de confianza, credibilidad y apertura.</w:t>
      </w:r>
    </w:p>
    <w:p w14:paraId="479E7FCC" w14:textId="77777777" w:rsidR="00EC077C" w:rsidRDefault="00EC077C" w:rsidP="00EC077C">
      <w:pPr>
        <w:jc w:val="both"/>
      </w:pPr>
      <w:r w:rsidRPr="004620C5">
        <w:t>En convivencia con servidores públicos capaces, fuertes y honestos que trabajan en equipo para resolver los desafíos que vienen con el crecimiento y la prosperidad.</w:t>
      </w:r>
    </w:p>
    <w:p w14:paraId="547E962F" w14:textId="7B1D3C2B" w:rsidR="005B478F" w:rsidRPr="004620C5" w:rsidRDefault="005B478F" w:rsidP="005B478F">
      <w:pPr>
        <w:tabs>
          <w:tab w:val="left" w:leader="underscore" w:pos="9923"/>
        </w:tabs>
        <w:spacing w:after="0"/>
        <w:jc w:val="both"/>
        <w:rPr>
          <w:rFonts w:cs="Arial"/>
          <w:b/>
          <w:bCs/>
        </w:rPr>
      </w:pPr>
      <w:r w:rsidRPr="004620C5">
        <w:rPr>
          <w:rFonts w:cs="Arial"/>
          <w:b/>
          <w:bCs/>
        </w:rPr>
        <w:t>Valo</w:t>
      </w:r>
      <w:r>
        <w:rPr>
          <w:rFonts w:cs="Arial"/>
          <w:b/>
          <w:bCs/>
        </w:rPr>
        <w:t>res</w:t>
      </w:r>
    </w:p>
    <w:p w14:paraId="17546A09" w14:textId="77777777" w:rsidR="005B478F" w:rsidRPr="004620C5" w:rsidRDefault="005B478F" w:rsidP="005B478F">
      <w:pPr>
        <w:tabs>
          <w:tab w:val="left" w:leader="underscore" w:pos="9639"/>
        </w:tabs>
        <w:spacing w:after="0" w:line="240" w:lineRule="auto"/>
        <w:jc w:val="both"/>
        <w:rPr>
          <w:rFonts w:cs="Calibri"/>
        </w:rPr>
      </w:pPr>
    </w:p>
    <w:p w14:paraId="1C749065" w14:textId="42E7AF5E" w:rsidR="005B478F" w:rsidRPr="004620C5" w:rsidRDefault="005B478F" w:rsidP="005B478F">
      <w:pPr>
        <w:spacing w:after="160" w:line="259" w:lineRule="auto"/>
        <w:jc w:val="both"/>
      </w:pPr>
      <w:r w:rsidRPr="004620C5">
        <w:rPr>
          <w:b/>
          <w:bCs/>
        </w:rPr>
        <w:t xml:space="preserve">Fortaleza. - </w:t>
      </w:r>
      <w:r w:rsidRPr="005B478F">
        <w:t>Enfrentar desafíos con resiliencia y determinación para mantener la estabilidad</w:t>
      </w:r>
      <w:r>
        <w:rPr>
          <w:b/>
          <w:bCs/>
        </w:rPr>
        <w:t>.</w:t>
      </w:r>
    </w:p>
    <w:p w14:paraId="3ED44437" w14:textId="77777777" w:rsidR="005B478F" w:rsidRPr="004620C5" w:rsidRDefault="005B478F" w:rsidP="005B478F">
      <w:pPr>
        <w:jc w:val="both"/>
      </w:pPr>
      <w:r w:rsidRPr="004620C5">
        <w:rPr>
          <w:b/>
          <w:bCs/>
        </w:rPr>
        <w:t>Resiliencia. -</w:t>
      </w:r>
      <w:r w:rsidRPr="004620C5">
        <w:t>-Buscaremos reinventarnos ante cualquier circunstancia, aprendiendo de la experiencia y creando una mejor versión de nosotros y nuestro equipo cada día.</w:t>
      </w:r>
    </w:p>
    <w:p w14:paraId="1934CE37" w14:textId="77777777" w:rsidR="005B478F" w:rsidRDefault="005B478F" w:rsidP="005B478F">
      <w:pPr>
        <w:jc w:val="both"/>
      </w:pPr>
      <w:r w:rsidRPr="004620C5">
        <w:rPr>
          <w:b/>
          <w:bCs/>
        </w:rPr>
        <w:t xml:space="preserve">Honestidad. </w:t>
      </w:r>
      <w:r w:rsidRPr="004620C5">
        <w:t xml:space="preserve">- </w:t>
      </w:r>
      <w:r w:rsidRPr="00794EC0">
        <w:t>Actuar con integridad y ética, colocando siempre los intereses de los ciudadanos por encima de cualquier beneficio personal.</w:t>
      </w:r>
    </w:p>
    <w:p w14:paraId="0BB9DF84" w14:textId="19D7C24A" w:rsidR="005B478F" w:rsidRDefault="005B478F" w:rsidP="005B478F">
      <w:pPr>
        <w:jc w:val="both"/>
      </w:pPr>
      <w:r w:rsidRPr="009B1FEB">
        <w:t xml:space="preserve">La transparencia garantiza que todas las operaciones y decisiones sean accesibles comprensibles para la ciudadanía, fomentando confianza pública. </w:t>
      </w:r>
    </w:p>
    <w:p w14:paraId="74C08039" w14:textId="77777777" w:rsidR="005B478F" w:rsidRPr="00746AF5" w:rsidRDefault="005B478F" w:rsidP="005B478F">
      <w:pPr>
        <w:jc w:val="both"/>
      </w:pPr>
      <w:r w:rsidRPr="00746AF5">
        <w:rPr>
          <w:b/>
          <w:bCs/>
        </w:rPr>
        <w:t>Compromis</w:t>
      </w:r>
      <w:r>
        <w:rPr>
          <w:b/>
          <w:bCs/>
        </w:rPr>
        <w:t>o</w:t>
      </w:r>
      <w:r w:rsidRPr="00746AF5">
        <w:t>. - La dedicación constante para mejorar la calidad de vida de los guanajuatenses, cumpliendo las promesas y objetivos de gobierno:</w:t>
      </w:r>
    </w:p>
    <w:p w14:paraId="18041088" w14:textId="77777777" w:rsidR="005B478F" w:rsidRPr="00794EC0" w:rsidRDefault="005B478F" w:rsidP="005B478F">
      <w:pPr>
        <w:pStyle w:val="Prrafodelista"/>
        <w:numPr>
          <w:ilvl w:val="0"/>
          <w:numId w:val="3"/>
        </w:numPr>
        <w:spacing w:after="160" w:line="259" w:lineRule="auto"/>
        <w:jc w:val="both"/>
      </w:pPr>
      <w:r w:rsidRPr="00794EC0">
        <w:t>Resolución de problemas</w:t>
      </w:r>
    </w:p>
    <w:p w14:paraId="6EFAF4C4" w14:textId="77777777" w:rsidR="005B478F" w:rsidRPr="00794EC0" w:rsidRDefault="005B478F" w:rsidP="005B478F">
      <w:pPr>
        <w:pStyle w:val="Prrafodelista"/>
        <w:numPr>
          <w:ilvl w:val="0"/>
          <w:numId w:val="3"/>
        </w:numPr>
        <w:spacing w:after="160" w:line="259" w:lineRule="auto"/>
        <w:jc w:val="both"/>
      </w:pPr>
      <w:r w:rsidRPr="00794EC0">
        <w:t xml:space="preserve">Actitud proactiva </w:t>
      </w:r>
    </w:p>
    <w:p w14:paraId="2C8CE85C" w14:textId="77777777" w:rsidR="005B478F" w:rsidRPr="00794EC0" w:rsidRDefault="005B478F" w:rsidP="005B478F">
      <w:pPr>
        <w:pStyle w:val="Prrafodelista"/>
        <w:numPr>
          <w:ilvl w:val="0"/>
          <w:numId w:val="3"/>
        </w:numPr>
        <w:spacing w:after="160" w:line="259" w:lineRule="auto"/>
        <w:jc w:val="both"/>
      </w:pPr>
      <w:r w:rsidRPr="00794EC0">
        <w:t>Propositivo.</w:t>
      </w:r>
    </w:p>
    <w:p w14:paraId="34BACD4A" w14:textId="77777777" w:rsidR="005B478F" w:rsidRPr="005B478F" w:rsidRDefault="005B478F" w:rsidP="005B478F">
      <w:pPr>
        <w:jc w:val="both"/>
        <w:rPr>
          <w:bCs/>
        </w:rPr>
      </w:pPr>
      <w:r w:rsidRPr="00746AF5">
        <w:rPr>
          <w:b/>
          <w:bCs/>
        </w:rPr>
        <w:lastRenderedPageBreak/>
        <w:t>ORDEN</w:t>
      </w:r>
      <w:r>
        <w:rPr>
          <w:b/>
          <w:bCs/>
        </w:rPr>
        <w:t xml:space="preserve">. - </w:t>
      </w:r>
      <w:r w:rsidRPr="005B478F">
        <w:rPr>
          <w:bCs/>
        </w:rPr>
        <w:t xml:space="preserve">Eficiencia en la gestión de los recursos y servicios, asegurando una ciudad limpia, segura y funcional. </w:t>
      </w:r>
    </w:p>
    <w:p w14:paraId="7D626EBD" w14:textId="77777777" w:rsidR="005B478F" w:rsidRDefault="005B478F" w:rsidP="005B478F">
      <w:pPr>
        <w:jc w:val="both"/>
      </w:pPr>
      <w:r w:rsidRPr="00746AF5">
        <w:t>Un gobierno con orden establece sistemas y procesos eficientes para gestionar recursos y servicios de manera efectiva.</w:t>
      </w:r>
    </w:p>
    <w:p w14:paraId="443F4737" w14:textId="77777777" w:rsidR="005B478F" w:rsidRPr="005B478F" w:rsidRDefault="005B478F" w:rsidP="005B478F">
      <w:pPr>
        <w:jc w:val="both"/>
        <w:rPr>
          <w:bCs/>
        </w:rPr>
      </w:pPr>
      <w:r w:rsidRPr="00746AF5">
        <w:rPr>
          <w:b/>
          <w:bCs/>
        </w:rPr>
        <w:t>Trabajo en equipo</w:t>
      </w:r>
      <w:r>
        <w:rPr>
          <w:b/>
          <w:bCs/>
        </w:rPr>
        <w:t xml:space="preserve">. - </w:t>
      </w:r>
      <w:r w:rsidRPr="005B478F">
        <w:rPr>
          <w:bCs/>
        </w:rPr>
        <w:t>Trabajar en conjunto con todos los sectores sociales fomentado la inclusión y el sentido de pertenencia.</w:t>
      </w:r>
    </w:p>
    <w:p w14:paraId="4A9BDAE0" w14:textId="77777777" w:rsidR="005B478F" w:rsidRPr="00746AF5" w:rsidRDefault="005B478F" w:rsidP="005B478F">
      <w:pPr>
        <w:pStyle w:val="Prrafodelista"/>
        <w:numPr>
          <w:ilvl w:val="0"/>
          <w:numId w:val="4"/>
        </w:numPr>
        <w:spacing w:after="160" w:line="259" w:lineRule="auto"/>
        <w:jc w:val="both"/>
      </w:pPr>
      <w:r w:rsidRPr="00746AF5">
        <w:t xml:space="preserve">Efectividad </w:t>
      </w:r>
    </w:p>
    <w:p w14:paraId="5828B1AB" w14:textId="77777777" w:rsidR="005B478F" w:rsidRPr="00746AF5" w:rsidRDefault="005B478F" w:rsidP="005B478F">
      <w:pPr>
        <w:pStyle w:val="Prrafodelista"/>
        <w:numPr>
          <w:ilvl w:val="0"/>
          <w:numId w:val="4"/>
        </w:numPr>
        <w:spacing w:after="160" w:line="259" w:lineRule="auto"/>
        <w:jc w:val="both"/>
      </w:pPr>
      <w:r w:rsidRPr="00746AF5">
        <w:t xml:space="preserve">Unidad </w:t>
      </w:r>
    </w:p>
    <w:p w14:paraId="2C34D559" w14:textId="77777777" w:rsidR="005B478F" w:rsidRPr="00746AF5" w:rsidRDefault="005B478F" w:rsidP="005B478F">
      <w:pPr>
        <w:pStyle w:val="Prrafodelista"/>
        <w:numPr>
          <w:ilvl w:val="0"/>
          <w:numId w:val="4"/>
        </w:numPr>
        <w:spacing w:after="160" w:line="259" w:lineRule="auto"/>
        <w:jc w:val="both"/>
      </w:pPr>
      <w:r w:rsidRPr="00746AF5">
        <w:t xml:space="preserve">Corresponsabilidad </w:t>
      </w:r>
    </w:p>
    <w:p w14:paraId="01E98436" w14:textId="77777777" w:rsidR="005B478F" w:rsidRDefault="005B478F" w:rsidP="005B478F">
      <w:pPr>
        <w:pStyle w:val="Prrafodelista"/>
        <w:numPr>
          <w:ilvl w:val="0"/>
          <w:numId w:val="4"/>
        </w:numPr>
        <w:spacing w:after="160" w:line="259" w:lineRule="auto"/>
        <w:jc w:val="both"/>
      </w:pPr>
      <w:r w:rsidRPr="00746AF5">
        <w:t>Involucramiento activo</w:t>
      </w:r>
    </w:p>
    <w:p w14:paraId="7681CD07" w14:textId="77777777" w:rsidR="005B478F" w:rsidRDefault="005B478F" w:rsidP="005B478F">
      <w:pPr>
        <w:jc w:val="both"/>
      </w:pPr>
      <w:r w:rsidRPr="00746AF5">
        <w:rPr>
          <w:b/>
          <w:bCs/>
        </w:rPr>
        <w:t>Creatividad e innovación</w:t>
      </w:r>
      <w:r>
        <w:rPr>
          <w:b/>
          <w:bCs/>
        </w:rPr>
        <w:t xml:space="preserve">. – </w:t>
      </w:r>
      <w:r w:rsidRPr="00746AF5">
        <w:t>Capacidad de salir de la zona de confort, reinventarse, solución creativa de problemas, pensamiento estratégico, visión a largo plazo y capacidad de autoevaluación.</w:t>
      </w:r>
    </w:p>
    <w:p w14:paraId="6CA37556" w14:textId="77777777" w:rsidR="005B478F" w:rsidRDefault="005B478F" w:rsidP="005B478F">
      <w:pPr>
        <w:jc w:val="both"/>
      </w:pPr>
      <w:r w:rsidRPr="00746AF5">
        <w:rPr>
          <w:b/>
          <w:bCs/>
        </w:rPr>
        <w:t>Solidaridad</w:t>
      </w:r>
      <w:r>
        <w:rPr>
          <w:b/>
          <w:bCs/>
        </w:rPr>
        <w:t xml:space="preserve">. </w:t>
      </w:r>
      <w:r w:rsidRPr="00746AF5">
        <w:t>– Es un valor que se basa en el respeto a la dignidad de las personas.</w:t>
      </w:r>
    </w:p>
    <w:p w14:paraId="55D95575" w14:textId="77777777" w:rsidR="005B478F" w:rsidRDefault="005B478F" w:rsidP="005B478F">
      <w:pPr>
        <w:jc w:val="both"/>
      </w:pPr>
      <w:r>
        <w:t>Implica ser consciente de las necesidades de los demás y querer ayudar a satisfacerlas.</w:t>
      </w:r>
    </w:p>
    <w:p w14:paraId="0DB05508" w14:textId="77777777" w:rsidR="005B478F" w:rsidRDefault="005B478F" w:rsidP="005B478F">
      <w:pPr>
        <w:pStyle w:val="Prrafodelista"/>
        <w:numPr>
          <w:ilvl w:val="0"/>
          <w:numId w:val="5"/>
        </w:numPr>
        <w:spacing w:after="160" w:line="259" w:lineRule="auto"/>
        <w:jc w:val="both"/>
      </w:pPr>
      <w:r>
        <w:t>Amor al servicio</w:t>
      </w:r>
    </w:p>
    <w:p w14:paraId="40BABA1F" w14:textId="77777777" w:rsidR="005B478F" w:rsidRPr="00746AF5" w:rsidRDefault="005B478F" w:rsidP="005B478F">
      <w:pPr>
        <w:pStyle w:val="Prrafodelista"/>
        <w:numPr>
          <w:ilvl w:val="0"/>
          <w:numId w:val="5"/>
        </w:numPr>
        <w:spacing w:after="160" w:line="259" w:lineRule="auto"/>
        <w:jc w:val="both"/>
      </w:pPr>
      <w:r>
        <w:t>Empatía</w:t>
      </w:r>
    </w:p>
    <w:p w14:paraId="27041984" w14:textId="77777777" w:rsidR="00654F1D" w:rsidRPr="004620C5" w:rsidRDefault="00654F1D" w:rsidP="00CB41C4">
      <w:pPr>
        <w:tabs>
          <w:tab w:val="left" w:leader="underscore" w:pos="9639"/>
        </w:tabs>
        <w:spacing w:after="0" w:line="240" w:lineRule="auto"/>
        <w:jc w:val="both"/>
        <w:rPr>
          <w:rFonts w:cs="Calibri"/>
        </w:rPr>
      </w:pPr>
    </w:p>
    <w:p w14:paraId="2C110A08" w14:textId="77777777" w:rsidR="007D1E76" w:rsidRPr="004620C5" w:rsidRDefault="007D1E76" w:rsidP="00CB41C4">
      <w:pPr>
        <w:tabs>
          <w:tab w:val="left" w:leader="underscore" w:pos="9639"/>
        </w:tabs>
        <w:spacing w:after="0" w:line="240" w:lineRule="auto"/>
        <w:jc w:val="both"/>
        <w:rPr>
          <w:rFonts w:cs="Calibri"/>
        </w:rPr>
      </w:pPr>
      <w:r w:rsidRPr="004620C5">
        <w:rPr>
          <w:rFonts w:cs="Calibri"/>
          <w:b/>
        </w:rPr>
        <w:t>b)</w:t>
      </w:r>
      <w:r w:rsidRPr="004620C5">
        <w:rPr>
          <w:rFonts w:cs="Calibri"/>
        </w:rPr>
        <w:t xml:space="preserve"> Principal actividad.</w:t>
      </w:r>
    </w:p>
    <w:p w14:paraId="54B4A861" w14:textId="77777777" w:rsidR="00BA34B4" w:rsidRPr="004620C5" w:rsidRDefault="00BA34B4" w:rsidP="00CB41C4">
      <w:pPr>
        <w:tabs>
          <w:tab w:val="left" w:leader="underscore" w:pos="9639"/>
        </w:tabs>
        <w:spacing w:after="0" w:line="240" w:lineRule="auto"/>
        <w:jc w:val="both"/>
        <w:rPr>
          <w:rFonts w:cs="Calibri"/>
        </w:rPr>
      </w:pPr>
    </w:p>
    <w:p w14:paraId="31AC81A2" w14:textId="49FCF32B" w:rsidR="00BA34B4" w:rsidRPr="004620C5" w:rsidRDefault="00BA34B4" w:rsidP="00BA34B4">
      <w:pPr>
        <w:spacing w:after="0"/>
        <w:jc w:val="both"/>
        <w:rPr>
          <w:rFonts w:cs="Calibri"/>
        </w:rPr>
      </w:pPr>
      <w:r w:rsidRPr="004620C5">
        <w:rPr>
          <w:rFonts w:cs="Arial"/>
        </w:rPr>
        <w:t>Administrar la Hacienda Pública Municipal en general y actividades de asistencia.</w:t>
      </w:r>
    </w:p>
    <w:p w14:paraId="5329D3F7" w14:textId="77777777" w:rsidR="004620C5" w:rsidRDefault="004620C5" w:rsidP="00CB41C4">
      <w:pPr>
        <w:tabs>
          <w:tab w:val="left" w:leader="underscore" w:pos="9639"/>
        </w:tabs>
        <w:spacing w:after="0" w:line="240" w:lineRule="auto"/>
        <w:jc w:val="both"/>
        <w:rPr>
          <w:rFonts w:cs="Calibri"/>
          <w:b/>
        </w:rPr>
      </w:pPr>
    </w:p>
    <w:p w14:paraId="2D21CE61" w14:textId="5DF6766B" w:rsidR="007D1E76" w:rsidRPr="004620C5" w:rsidRDefault="007D1E76" w:rsidP="00CB41C4">
      <w:pPr>
        <w:tabs>
          <w:tab w:val="left" w:leader="underscore" w:pos="9639"/>
        </w:tabs>
        <w:spacing w:after="0" w:line="240" w:lineRule="auto"/>
        <w:jc w:val="both"/>
        <w:rPr>
          <w:rFonts w:cs="Calibri"/>
          <w:b/>
        </w:rPr>
      </w:pPr>
      <w:r w:rsidRPr="004620C5">
        <w:rPr>
          <w:rFonts w:cs="Calibri"/>
          <w:b/>
        </w:rPr>
        <w:t>c) Ejercicio fiscal (</w:t>
      </w:r>
      <w:r w:rsidR="00CB41C4" w:rsidRPr="004620C5">
        <w:rPr>
          <w:rFonts w:cs="Calibri"/>
          <w:b/>
        </w:rPr>
        <w:t>mencionar,</w:t>
      </w:r>
      <w:r w:rsidRPr="004620C5">
        <w:rPr>
          <w:rFonts w:cs="Calibri"/>
          <w:b/>
        </w:rPr>
        <w:t xml:space="preserve"> por ejemplo: enero a diciembre de 20</w:t>
      </w:r>
      <w:r w:rsidR="009736CB" w:rsidRPr="004620C5">
        <w:rPr>
          <w:rFonts w:cs="Calibri"/>
          <w:b/>
        </w:rPr>
        <w:t>24</w:t>
      </w:r>
      <w:r w:rsidRPr="004620C5">
        <w:rPr>
          <w:rFonts w:cs="Calibri"/>
          <w:b/>
        </w:rPr>
        <w:t>).</w:t>
      </w:r>
    </w:p>
    <w:p w14:paraId="31A56863" w14:textId="77777777" w:rsidR="00BA34B4" w:rsidRDefault="00BA34B4" w:rsidP="00CB41C4">
      <w:pPr>
        <w:tabs>
          <w:tab w:val="left" w:leader="underscore" w:pos="9639"/>
        </w:tabs>
        <w:spacing w:after="0" w:line="240" w:lineRule="auto"/>
        <w:jc w:val="both"/>
        <w:rPr>
          <w:rFonts w:cs="Calibri"/>
        </w:rPr>
      </w:pPr>
    </w:p>
    <w:p w14:paraId="31A26DEA" w14:textId="115B4AF5" w:rsidR="00BA34B4" w:rsidRPr="00E74967" w:rsidRDefault="00854ADF" w:rsidP="00CB41C4">
      <w:pPr>
        <w:tabs>
          <w:tab w:val="left" w:leader="underscore" w:pos="9639"/>
        </w:tabs>
        <w:spacing w:after="0" w:line="240" w:lineRule="auto"/>
        <w:jc w:val="both"/>
        <w:rPr>
          <w:rFonts w:cs="Calibri"/>
        </w:rPr>
      </w:pPr>
      <w:r>
        <w:t>Del 1 de enero al 31 de diciembre de 2024</w:t>
      </w:r>
      <w:r w:rsidR="00654F1D">
        <w:rPr>
          <w:rFonts w:cs="Calibri"/>
        </w:rPr>
        <w:t>.</w:t>
      </w:r>
      <w:r w:rsidR="00BD5F2D">
        <w:rPr>
          <w:rFonts w:cs="Calibri"/>
        </w:rPr>
        <w:t xml:space="preserve"> Se informa al 31 de diciembre</w:t>
      </w:r>
      <w:r w:rsidRPr="00854ADF">
        <w:rPr>
          <w:rFonts w:cs="Calibri"/>
        </w:rPr>
        <w:t xml:space="preserve"> de 2024</w:t>
      </w:r>
      <w:r>
        <w:rPr>
          <w:rFonts w:cs="Calibri"/>
        </w:rPr>
        <w:t>.</w:t>
      </w:r>
    </w:p>
    <w:p w14:paraId="1D0B81C2" w14:textId="77777777" w:rsidR="00654F1D" w:rsidRPr="00E74967" w:rsidRDefault="00654F1D" w:rsidP="00CB41C4">
      <w:pPr>
        <w:tabs>
          <w:tab w:val="left" w:leader="underscore" w:pos="9639"/>
        </w:tabs>
        <w:spacing w:after="0" w:line="240" w:lineRule="auto"/>
        <w:jc w:val="both"/>
        <w:rPr>
          <w:rFonts w:cs="Calibri"/>
        </w:rPr>
      </w:pPr>
    </w:p>
    <w:p w14:paraId="6B13C93F" w14:textId="77777777" w:rsidR="007D1E76" w:rsidRPr="004620C5" w:rsidRDefault="007D1E76" w:rsidP="00CB41C4">
      <w:pPr>
        <w:tabs>
          <w:tab w:val="left" w:leader="underscore" w:pos="9639"/>
        </w:tabs>
        <w:spacing w:after="0" w:line="240" w:lineRule="auto"/>
        <w:jc w:val="both"/>
        <w:rPr>
          <w:rFonts w:cs="Calibri"/>
          <w:b/>
        </w:rPr>
      </w:pPr>
      <w:r w:rsidRPr="004620C5">
        <w:rPr>
          <w:rFonts w:cs="Calibri"/>
          <w:b/>
        </w:rPr>
        <w:t>d) Régimen jurídico (Forma como está dada de alta la entidad ante la S.H.C.P., ejemplos: S.C., S.A., Personas morales sin fines de lucro, etc.).</w:t>
      </w:r>
    </w:p>
    <w:p w14:paraId="7F1BD284" w14:textId="77777777" w:rsidR="00654F1D" w:rsidRDefault="00654F1D" w:rsidP="00CB41C4">
      <w:pPr>
        <w:tabs>
          <w:tab w:val="left" w:leader="underscore" w:pos="9639"/>
        </w:tabs>
        <w:spacing w:after="0" w:line="240" w:lineRule="auto"/>
        <w:jc w:val="both"/>
        <w:rPr>
          <w:rFonts w:cs="Calibri"/>
        </w:rPr>
      </w:pPr>
    </w:p>
    <w:p w14:paraId="59DACB46" w14:textId="39B53178" w:rsidR="00654F1D" w:rsidRPr="006D0B0E" w:rsidRDefault="00654F1D" w:rsidP="00654F1D">
      <w:pPr>
        <w:spacing w:after="0"/>
        <w:jc w:val="both"/>
        <w:rPr>
          <w:rFonts w:cs="Calibri"/>
        </w:rPr>
      </w:pPr>
      <w:r w:rsidRPr="006D0B0E">
        <w:rPr>
          <w:rFonts w:cs="Arial"/>
          <w:szCs w:val="20"/>
        </w:rPr>
        <w:t>Persona moral con fines no lucrativos</w:t>
      </w:r>
      <w:r>
        <w:rPr>
          <w:rFonts w:cs="Arial"/>
          <w:szCs w:val="20"/>
        </w:rPr>
        <w:t>.</w:t>
      </w:r>
    </w:p>
    <w:p w14:paraId="684EFE58" w14:textId="77777777" w:rsidR="00654F1D" w:rsidRDefault="00654F1D" w:rsidP="00654F1D">
      <w:pPr>
        <w:tabs>
          <w:tab w:val="left" w:leader="underscore" w:pos="9639"/>
        </w:tabs>
        <w:spacing w:after="0" w:line="240" w:lineRule="auto"/>
        <w:jc w:val="both"/>
        <w:rPr>
          <w:rFonts w:cs="Calibri"/>
        </w:rPr>
      </w:pPr>
    </w:p>
    <w:p w14:paraId="7A0F78D6" w14:textId="77777777" w:rsidR="00654F1D" w:rsidRPr="004620C5" w:rsidRDefault="007D1E76" w:rsidP="00654F1D">
      <w:pPr>
        <w:tabs>
          <w:tab w:val="left" w:leader="underscore" w:pos="9639"/>
        </w:tabs>
        <w:spacing w:after="0" w:line="240" w:lineRule="auto"/>
        <w:jc w:val="both"/>
        <w:rPr>
          <w:rFonts w:cs="Calibri"/>
          <w:b/>
        </w:rPr>
      </w:pPr>
      <w:r w:rsidRPr="004620C5">
        <w:rPr>
          <w:rFonts w:cs="Calibri"/>
          <w:b/>
        </w:rPr>
        <w:lastRenderedPageBreak/>
        <w:t xml:space="preserve">e) Consideraciones fiscales del ente: </w:t>
      </w:r>
      <w:r w:rsidR="00657009" w:rsidRPr="004620C5">
        <w:rPr>
          <w:rFonts w:cs="Calibri"/>
          <w:b/>
        </w:rPr>
        <w:t>R</w:t>
      </w:r>
      <w:r w:rsidRPr="004620C5">
        <w:rPr>
          <w:rFonts w:cs="Calibri"/>
          <w:b/>
        </w:rPr>
        <w:t>evelar el tipo de contribuciones que esté obligado a pagar o retener.</w:t>
      </w:r>
    </w:p>
    <w:p w14:paraId="3179C194" w14:textId="77777777" w:rsidR="00654F1D" w:rsidRDefault="00654F1D" w:rsidP="00654F1D">
      <w:pPr>
        <w:tabs>
          <w:tab w:val="left" w:leader="underscore" w:pos="9639"/>
        </w:tabs>
        <w:spacing w:after="0" w:line="240" w:lineRule="auto"/>
        <w:jc w:val="both"/>
        <w:rPr>
          <w:rFonts w:cs="Calibri"/>
        </w:rPr>
      </w:pPr>
    </w:p>
    <w:p w14:paraId="38747194" w14:textId="77777777" w:rsidR="00654F1D" w:rsidRDefault="00654F1D" w:rsidP="004620C5">
      <w:pPr>
        <w:pStyle w:val="Prrafodelista"/>
        <w:numPr>
          <w:ilvl w:val="0"/>
          <w:numId w:val="7"/>
        </w:numPr>
        <w:jc w:val="both"/>
      </w:pPr>
      <w:r>
        <w:t xml:space="preserve">Entero de retenciones mensuales de ISR por sueldos y salarios </w:t>
      </w:r>
    </w:p>
    <w:p w14:paraId="66361919" w14:textId="293D04A7" w:rsidR="00654F1D" w:rsidRDefault="00654F1D" w:rsidP="004620C5">
      <w:pPr>
        <w:pStyle w:val="Prrafodelista"/>
        <w:numPr>
          <w:ilvl w:val="0"/>
          <w:numId w:val="7"/>
        </w:numPr>
        <w:jc w:val="both"/>
      </w:pPr>
      <w:r>
        <w:t>Entero de retención de ISR por servicios profesionales</w:t>
      </w:r>
    </w:p>
    <w:p w14:paraId="446DC839" w14:textId="77777777" w:rsidR="00654F1D" w:rsidRDefault="00654F1D" w:rsidP="004620C5">
      <w:pPr>
        <w:pStyle w:val="Prrafodelista"/>
        <w:numPr>
          <w:ilvl w:val="0"/>
          <w:numId w:val="7"/>
        </w:numPr>
        <w:jc w:val="both"/>
      </w:pPr>
      <w:r>
        <w:t>Entero de retenciones mensuales de ISR por ingresos asimilados a salarios</w:t>
      </w:r>
    </w:p>
    <w:p w14:paraId="42A6FB03" w14:textId="7C195DC5" w:rsidR="00654F1D" w:rsidRDefault="00654F1D" w:rsidP="004620C5">
      <w:pPr>
        <w:pStyle w:val="Prrafodelista"/>
        <w:numPr>
          <w:ilvl w:val="0"/>
          <w:numId w:val="7"/>
        </w:numPr>
        <w:jc w:val="both"/>
      </w:pPr>
      <w:r>
        <w:t>Entero mensual de retenciones de ISR de ingresos por arrendamiento</w:t>
      </w:r>
    </w:p>
    <w:p w14:paraId="1AF886CC" w14:textId="77777777" w:rsidR="00654F1D" w:rsidRDefault="00654F1D" w:rsidP="004620C5">
      <w:pPr>
        <w:pStyle w:val="Prrafodelista"/>
        <w:numPr>
          <w:ilvl w:val="0"/>
          <w:numId w:val="7"/>
        </w:numPr>
        <w:jc w:val="both"/>
      </w:pPr>
      <w:r>
        <w:t>Declaración informativa anual de pagos y retenciones de servicios profesionales. Personas Morales. Impuesto Sobre la Renta</w:t>
      </w:r>
    </w:p>
    <w:p w14:paraId="6268EF76" w14:textId="5771BBEE" w:rsidR="007D1E76" w:rsidRPr="00654F1D" w:rsidRDefault="00654F1D" w:rsidP="004620C5">
      <w:pPr>
        <w:pStyle w:val="Prrafodelista"/>
        <w:numPr>
          <w:ilvl w:val="0"/>
          <w:numId w:val="7"/>
        </w:numPr>
        <w:jc w:val="both"/>
      </w:pPr>
      <w:r>
        <w:t>Declaración informativa anual de retenciones de ISR por arrendamiento de inmuebles</w:t>
      </w:r>
    </w:p>
    <w:p w14:paraId="1A6972FD" w14:textId="77777777" w:rsidR="00E16610" w:rsidRDefault="00E16610" w:rsidP="00CB41C4">
      <w:pPr>
        <w:tabs>
          <w:tab w:val="left" w:leader="underscore" w:pos="9639"/>
        </w:tabs>
        <w:spacing w:after="0" w:line="240" w:lineRule="auto"/>
        <w:jc w:val="both"/>
        <w:rPr>
          <w:rFonts w:cs="Calibri"/>
          <w:b/>
        </w:rPr>
      </w:pPr>
    </w:p>
    <w:p w14:paraId="3FEA8325" w14:textId="77777777" w:rsidR="004620C5" w:rsidRDefault="004620C5" w:rsidP="00CB41C4">
      <w:pPr>
        <w:tabs>
          <w:tab w:val="left" w:leader="underscore" w:pos="9639"/>
        </w:tabs>
        <w:spacing w:after="0" w:line="240" w:lineRule="auto"/>
        <w:jc w:val="both"/>
        <w:rPr>
          <w:rFonts w:cs="Calibri"/>
          <w:b/>
        </w:rPr>
      </w:pPr>
    </w:p>
    <w:p w14:paraId="39E4301B" w14:textId="77777777" w:rsidR="004620C5" w:rsidRDefault="004620C5" w:rsidP="00CB41C4">
      <w:pPr>
        <w:tabs>
          <w:tab w:val="left" w:leader="underscore" w:pos="9639"/>
        </w:tabs>
        <w:spacing w:after="0" w:line="240" w:lineRule="auto"/>
        <w:jc w:val="both"/>
        <w:rPr>
          <w:rFonts w:cs="Calibri"/>
          <w:b/>
        </w:rPr>
      </w:pPr>
    </w:p>
    <w:p w14:paraId="2D175C08" w14:textId="77777777" w:rsidR="004620C5" w:rsidRDefault="004620C5" w:rsidP="00CB41C4">
      <w:pPr>
        <w:tabs>
          <w:tab w:val="left" w:leader="underscore" w:pos="9639"/>
        </w:tabs>
        <w:spacing w:after="0" w:line="240" w:lineRule="auto"/>
        <w:jc w:val="both"/>
        <w:rPr>
          <w:rFonts w:cs="Calibri"/>
          <w:b/>
        </w:rPr>
      </w:pPr>
    </w:p>
    <w:p w14:paraId="4C7AC0A7" w14:textId="77777777" w:rsidR="004620C5" w:rsidRDefault="004620C5" w:rsidP="00CB41C4">
      <w:pPr>
        <w:tabs>
          <w:tab w:val="left" w:leader="underscore" w:pos="9639"/>
        </w:tabs>
        <w:spacing w:after="0" w:line="240" w:lineRule="auto"/>
        <w:jc w:val="both"/>
        <w:rPr>
          <w:rFonts w:cs="Calibri"/>
          <w:b/>
        </w:rPr>
      </w:pPr>
    </w:p>
    <w:p w14:paraId="0240B88B" w14:textId="77777777" w:rsidR="004620C5" w:rsidRDefault="004620C5" w:rsidP="00CB41C4">
      <w:pPr>
        <w:tabs>
          <w:tab w:val="left" w:leader="underscore" w:pos="9639"/>
        </w:tabs>
        <w:spacing w:after="0" w:line="240" w:lineRule="auto"/>
        <w:jc w:val="both"/>
        <w:rPr>
          <w:rFonts w:cs="Calibri"/>
          <w:b/>
        </w:rPr>
      </w:pPr>
    </w:p>
    <w:p w14:paraId="4318BBE5" w14:textId="77777777" w:rsidR="004620C5" w:rsidRDefault="004620C5" w:rsidP="00CB41C4">
      <w:pPr>
        <w:tabs>
          <w:tab w:val="left" w:leader="underscore" w:pos="9639"/>
        </w:tabs>
        <w:spacing w:after="0" w:line="240" w:lineRule="auto"/>
        <w:jc w:val="both"/>
        <w:rPr>
          <w:rFonts w:cs="Calibri"/>
          <w:b/>
        </w:rPr>
      </w:pPr>
    </w:p>
    <w:p w14:paraId="6E239C0F" w14:textId="77777777" w:rsidR="004620C5" w:rsidRDefault="004620C5" w:rsidP="00CB41C4">
      <w:pPr>
        <w:tabs>
          <w:tab w:val="left" w:leader="underscore" w:pos="9639"/>
        </w:tabs>
        <w:spacing w:after="0" w:line="240" w:lineRule="auto"/>
        <w:jc w:val="both"/>
        <w:rPr>
          <w:rFonts w:cs="Calibri"/>
          <w:b/>
        </w:rPr>
      </w:pPr>
    </w:p>
    <w:p w14:paraId="59C3E7A7" w14:textId="77777777" w:rsidR="004620C5" w:rsidRDefault="004620C5" w:rsidP="00CB41C4">
      <w:pPr>
        <w:tabs>
          <w:tab w:val="left" w:leader="underscore" w:pos="9639"/>
        </w:tabs>
        <w:spacing w:after="0" w:line="240" w:lineRule="auto"/>
        <w:jc w:val="both"/>
        <w:rPr>
          <w:rFonts w:cs="Calibri"/>
          <w:b/>
        </w:rPr>
      </w:pPr>
    </w:p>
    <w:p w14:paraId="10F8F84D" w14:textId="77777777" w:rsidR="004620C5" w:rsidRDefault="004620C5" w:rsidP="00CB41C4">
      <w:pPr>
        <w:tabs>
          <w:tab w:val="left" w:leader="underscore" w:pos="9639"/>
        </w:tabs>
        <w:spacing w:after="0" w:line="240" w:lineRule="auto"/>
        <w:jc w:val="both"/>
        <w:rPr>
          <w:rFonts w:cs="Calibri"/>
          <w:b/>
        </w:rPr>
      </w:pPr>
    </w:p>
    <w:p w14:paraId="3747C60B" w14:textId="77777777" w:rsidR="004620C5" w:rsidRDefault="004620C5" w:rsidP="00CB41C4">
      <w:pPr>
        <w:tabs>
          <w:tab w:val="left" w:leader="underscore" w:pos="9639"/>
        </w:tabs>
        <w:spacing w:after="0" w:line="240" w:lineRule="auto"/>
        <w:jc w:val="both"/>
        <w:rPr>
          <w:rFonts w:cs="Calibri"/>
          <w:b/>
        </w:rPr>
      </w:pPr>
    </w:p>
    <w:p w14:paraId="34DC1C07" w14:textId="77777777" w:rsidR="004620C5" w:rsidRDefault="004620C5" w:rsidP="00CB41C4">
      <w:pPr>
        <w:tabs>
          <w:tab w:val="left" w:leader="underscore" w:pos="9639"/>
        </w:tabs>
        <w:spacing w:after="0" w:line="240" w:lineRule="auto"/>
        <w:jc w:val="both"/>
        <w:rPr>
          <w:rFonts w:cs="Calibri"/>
          <w:b/>
        </w:rPr>
      </w:pPr>
    </w:p>
    <w:p w14:paraId="62DE8163" w14:textId="77777777" w:rsidR="004620C5" w:rsidRDefault="004620C5" w:rsidP="00CB41C4">
      <w:pPr>
        <w:tabs>
          <w:tab w:val="left" w:leader="underscore" w:pos="9639"/>
        </w:tabs>
        <w:spacing w:after="0" w:line="240" w:lineRule="auto"/>
        <w:jc w:val="both"/>
        <w:rPr>
          <w:rFonts w:cs="Calibri"/>
          <w:b/>
        </w:rPr>
      </w:pPr>
    </w:p>
    <w:p w14:paraId="373574B6" w14:textId="77777777" w:rsidR="004620C5" w:rsidRDefault="004620C5" w:rsidP="00CB41C4">
      <w:pPr>
        <w:tabs>
          <w:tab w:val="left" w:leader="underscore" w:pos="9639"/>
        </w:tabs>
        <w:spacing w:after="0" w:line="240" w:lineRule="auto"/>
        <w:jc w:val="both"/>
        <w:rPr>
          <w:rFonts w:cs="Calibri"/>
          <w:b/>
        </w:rPr>
      </w:pPr>
    </w:p>
    <w:p w14:paraId="4A4290EF" w14:textId="77777777" w:rsidR="004620C5" w:rsidRDefault="004620C5" w:rsidP="00CB41C4">
      <w:pPr>
        <w:tabs>
          <w:tab w:val="left" w:leader="underscore" w:pos="9639"/>
        </w:tabs>
        <w:spacing w:after="0" w:line="240" w:lineRule="auto"/>
        <w:jc w:val="both"/>
        <w:rPr>
          <w:rFonts w:cs="Calibri"/>
          <w:b/>
        </w:rPr>
      </w:pPr>
    </w:p>
    <w:p w14:paraId="1627AE81" w14:textId="77777777" w:rsidR="004620C5" w:rsidRDefault="004620C5" w:rsidP="00CB41C4">
      <w:pPr>
        <w:tabs>
          <w:tab w:val="left" w:leader="underscore" w:pos="9639"/>
        </w:tabs>
        <w:spacing w:after="0" w:line="240" w:lineRule="auto"/>
        <w:jc w:val="both"/>
        <w:rPr>
          <w:rFonts w:cs="Calibri"/>
          <w:b/>
        </w:rPr>
      </w:pPr>
    </w:p>
    <w:p w14:paraId="05454E1A" w14:textId="77777777" w:rsidR="005B478F" w:rsidRDefault="005B478F" w:rsidP="00CB41C4">
      <w:pPr>
        <w:tabs>
          <w:tab w:val="left" w:leader="underscore" w:pos="9639"/>
        </w:tabs>
        <w:spacing w:after="0" w:line="240" w:lineRule="auto"/>
        <w:jc w:val="both"/>
        <w:rPr>
          <w:rFonts w:cs="Calibri"/>
          <w:b/>
        </w:rPr>
      </w:pPr>
    </w:p>
    <w:p w14:paraId="4ED1FE48" w14:textId="77777777" w:rsidR="005B478F" w:rsidRDefault="005B478F" w:rsidP="00CB41C4">
      <w:pPr>
        <w:tabs>
          <w:tab w:val="left" w:leader="underscore" w:pos="9639"/>
        </w:tabs>
        <w:spacing w:after="0" w:line="240" w:lineRule="auto"/>
        <w:jc w:val="both"/>
        <w:rPr>
          <w:rFonts w:cs="Calibri"/>
          <w:b/>
        </w:rPr>
      </w:pPr>
    </w:p>
    <w:p w14:paraId="6914EAE4" w14:textId="77777777" w:rsidR="005B478F" w:rsidRDefault="005B478F" w:rsidP="00CB41C4">
      <w:pPr>
        <w:tabs>
          <w:tab w:val="left" w:leader="underscore" w:pos="9639"/>
        </w:tabs>
        <w:spacing w:after="0" w:line="240" w:lineRule="auto"/>
        <w:jc w:val="both"/>
        <w:rPr>
          <w:rFonts w:cs="Calibri"/>
          <w:b/>
        </w:rPr>
      </w:pPr>
    </w:p>
    <w:p w14:paraId="62842BC1" w14:textId="77777777" w:rsidR="005B478F" w:rsidRDefault="005B478F" w:rsidP="00CB41C4">
      <w:pPr>
        <w:tabs>
          <w:tab w:val="left" w:leader="underscore" w:pos="9639"/>
        </w:tabs>
        <w:spacing w:after="0" w:line="240" w:lineRule="auto"/>
        <w:jc w:val="both"/>
        <w:rPr>
          <w:rFonts w:cs="Calibri"/>
          <w:b/>
        </w:rPr>
      </w:pPr>
    </w:p>
    <w:p w14:paraId="038F7FC8" w14:textId="77777777" w:rsidR="005B478F" w:rsidRDefault="005B478F" w:rsidP="00CB41C4">
      <w:pPr>
        <w:tabs>
          <w:tab w:val="left" w:leader="underscore" w:pos="9639"/>
        </w:tabs>
        <w:spacing w:after="0" w:line="240" w:lineRule="auto"/>
        <w:jc w:val="both"/>
        <w:rPr>
          <w:rFonts w:cs="Calibri"/>
          <w:b/>
        </w:rPr>
      </w:pPr>
    </w:p>
    <w:p w14:paraId="3325C804" w14:textId="77777777" w:rsidR="005B478F" w:rsidRDefault="005B478F" w:rsidP="00CB41C4">
      <w:pPr>
        <w:tabs>
          <w:tab w:val="left" w:leader="underscore" w:pos="9639"/>
        </w:tabs>
        <w:spacing w:after="0" w:line="240" w:lineRule="auto"/>
        <w:jc w:val="both"/>
        <w:rPr>
          <w:rFonts w:cs="Calibri"/>
          <w:b/>
        </w:rPr>
      </w:pPr>
    </w:p>
    <w:p w14:paraId="4B77094F" w14:textId="77777777" w:rsidR="005B478F" w:rsidRDefault="005B478F" w:rsidP="00CB41C4">
      <w:pPr>
        <w:tabs>
          <w:tab w:val="left" w:leader="underscore" w:pos="9639"/>
        </w:tabs>
        <w:spacing w:after="0" w:line="240" w:lineRule="auto"/>
        <w:jc w:val="both"/>
        <w:rPr>
          <w:rFonts w:cs="Calibri"/>
          <w:b/>
        </w:rPr>
      </w:pPr>
    </w:p>
    <w:p w14:paraId="30ACFCF5" w14:textId="77777777" w:rsidR="005B478F" w:rsidRDefault="005B478F" w:rsidP="00CB41C4">
      <w:pPr>
        <w:tabs>
          <w:tab w:val="left" w:leader="underscore" w:pos="9639"/>
        </w:tabs>
        <w:spacing w:after="0" w:line="240" w:lineRule="auto"/>
        <w:jc w:val="both"/>
        <w:rPr>
          <w:rFonts w:cs="Calibri"/>
          <w:b/>
        </w:rPr>
      </w:pPr>
    </w:p>
    <w:p w14:paraId="77711400" w14:textId="77777777" w:rsidR="005B478F" w:rsidRDefault="005B478F" w:rsidP="00CB41C4">
      <w:pPr>
        <w:tabs>
          <w:tab w:val="left" w:leader="underscore" w:pos="9639"/>
        </w:tabs>
        <w:spacing w:after="0" w:line="240" w:lineRule="auto"/>
        <w:jc w:val="both"/>
        <w:rPr>
          <w:rFonts w:cs="Calibri"/>
          <w:b/>
        </w:rPr>
      </w:pPr>
    </w:p>
    <w:p w14:paraId="48192B67" w14:textId="77777777" w:rsidR="005B478F" w:rsidRDefault="005B478F" w:rsidP="00CB41C4">
      <w:pPr>
        <w:tabs>
          <w:tab w:val="left" w:leader="underscore" w:pos="9639"/>
        </w:tabs>
        <w:spacing w:after="0" w:line="240" w:lineRule="auto"/>
        <w:jc w:val="both"/>
        <w:rPr>
          <w:rFonts w:cs="Calibri"/>
          <w:b/>
        </w:rPr>
      </w:pPr>
    </w:p>
    <w:p w14:paraId="6EB77A6D" w14:textId="76BEF0C5" w:rsidR="007D1E76" w:rsidRPr="004620C5" w:rsidRDefault="007D1E76" w:rsidP="00CB41C4">
      <w:pPr>
        <w:tabs>
          <w:tab w:val="left" w:leader="underscore" w:pos="9639"/>
        </w:tabs>
        <w:spacing w:after="0" w:line="240" w:lineRule="auto"/>
        <w:jc w:val="both"/>
        <w:rPr>
          <w:rFonts w:cs="Calibri"/>
          <w:b/>
        </w:rPr>
      </w:pPr>
      <w:r w:rsidRPr="004620C5">
        <w:rPr>
          <w:rFonts w:cs="Calibri"/>
          <w:b/>
        </w:rPr>
        <w:lastRenderedPageBreak/>
        <w:t>f) Estructura organizacional básica.</w:t>
      </w:r>
    </w:p>
    <w:p w14:paraId="052DDB11" w14:textId="4B4231E5" w:rsidR="00EC077C" w:rsidRPr="000722D8" w:rsidRDefault="007D1E76" w:rsidP="000722D8">
      <w:pPr>
        <w:tabs>
          <w:tab w:val="left" w:leader="underscore" w:pos="9639"/>
        </w:tabs>
        <w:spacing w:after="0" w:line="240" w:lineRule="auto"/>
        <w:ind w:firstLine="708"/>
        <w:jc w:val="both"/>
        <w:rPr>
          <w:rFonts w:cs="Calibri"/>
        </w:rPr>
      </w:pPr>
      <w:r w:rsidRPr="00E74967">
        <w:rPr>
          <w:rFonts w:cs="Calibri"/>
        </w:rPr>
        <w:t>*Anexar organigrama de la entidad.</w:t>
      </w:r>
    </w:p>
    <w:p w14:paraId="049FA3FF" w14:textId="4F7D1F8F" w:rsidR="00EC077C" w:rsidRDefault="004620C5" w:rsidP="004620C5">
      <w:pPr>
        <w:tabs>
          <w:tab w:val="left" w:leader="underscore" w:pos="9639"/>
        </w:tabs>
        <w:spacing w:after="0" w:line="240" w:lineRule="auto"/>
        <w:ind w:firstLine="708"/>
        <w:jc w:val="center"/>
        <w:rPr>
          <w:rFonts w:cs="Calibri"/>
          <w:b/>
          <w:bCs/>
        </w:rPr>
      </w:pPr>
      <w:r w:rsidRPr="004620C5">
        <w:rPr>
          <w:rFonts w:cs="Calibri"/>
          <w:b/>
          <w:bCs/>
        </w:rPr>
        <w:t>(Administración 202</w:t>
      </w:r>
      <w:r>
        <w:rPr>
          <w:rFonts w:cs="Calibri"/>
          <w:b/>
          <w:bCs/>
        </w:rPr>
        <w:t>4</w:t>
      </w:r>
      <w:r w:rsidRPr="004620C5">
        <w:rPr>
          <w:rFonts w:cs="Calibri"/>
          <w:b/>
          <w:bCs/>
        </w:rPr>
        <w:t>-202</w:t>
      </w:r>
      <w:r>
        <w:rPr>
          <w:rFonts w:cs="Calibri"/>
          <w:b/>
          <w:bCs/>
        </w:rPr>
        <w:t>7</w:t>
      </w:r>
      <w:r w:rsidRPr="004620C5">
        <w:rPr>
          <w:rFonts w:cs="Calibri"/>
          <w:b/>
          <w:bCs/>
        </w:rPr>
        <w:t>)</w:t>
      </w:r>
    </w:p>
    <w:p w14:paraId="2FEC7B12" w14:textId="7349CBE8" w:rsidR="00EC077C" w:rsidRDefault="00EC077C" w:rsidP="00EC077C">
      <w:pPr>
        <w:tabs>
          <w:tab w:val="left" w:leader="underscore" w:pos="9639"/>
        </w:tabs>
        <w:spacing w:after="0" w:line="240" w:lineRule="auto"/>
        <w:jc w:val="center"/>
        <w:rPr>
          <w:rFonts w:cs="Calibri"/>
          <w:b/>
          <w:bCs/>
        </w:rPr>
      </w:pPr>
    </w:p>
    <w:p w14:paraId="0874F162" w14:textId="77777777" w:rsidR="0043484C" w:rsidRDefault="0043484C" w:rsidP="00EC077C">
      <w:pPr>
        <w:tabs>
          <w:tab w:val="left" w:leader="underscore" w:pos="9639"/>
        </w:tabs>
        <w:spacing w:after="0" w:line="240" w:lineRule="auto"/>
        <w:jc w:val="center"/>
        <w:rPr>
          <w:rFonts w:cs="Calibri"/>
          <w:b/>
          <w:bCs/>
        </w:rPr>
      </w:pPr>
    </w:p>
    <w:p w14:paraId="390FC876" w14:textId="33DD8658" w:rsidR="0043484C" w:rsidRDefault="0043484C" w:rsidP="00EC077C">
      <w:pPr>
        <w:tabs>
          <w:tab w:val="left" w:leader="underscore" w:pos="9639"/>
        </w:tabs>
        <w:spacing w:after="0" w:line="240" w:lineRule="auto"/>
        <w:jc w:val="center"/>
        <w:rPr>
          <w:rFonts w:cs="Calibri"/>
          <w:b/>
          <w:bCs/>
        </w:rPr>
      </w:pPr>
      <w:r>
        <w:rPr>
          <w:rFonts w:cs="Calibri"/>
          <w:b/>
          <w:bCs/>
          <w:noProof/>
          <w:lang w:eastAsia="es-MX"/>
        </w:rPr>
        <w:drawing>
          <wp:inline distT="0" distB="0" distL="0" distR="0" wp14:anchorId="6C70082D" wp14:editId="6717F1FC">
            <wp:extent cx="6149340" cy="3139440"/>
            <wp:effectExtent l="0" t="0" r="3810" b="3810"/>
            <wp:docPr id="11914934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9340" cy="3139440"/>
                    </a:xfrm>
                    <a:prstGeom prst="rect">
                      <a:avLst/>
                    </a:prstGeom>
                    <a:noFill/>
                    <a:ln>
                      <a:noFill/>
                    </a:ln>
                  </pic:spPr>
                </pic:pic>
              </a:graphicData>
            </a:graphic>
          </wp:inline>
        </w:drawing>
      </w:r>
    </w:p>
    <w:p w14:paraId="3B91A393" w14:textId="77777777" w:rsidR="00EC077C" w:rsidRDefault="00EC077C" w:rsidP="00EC077C">
      <w:pPr>
        <w:tabs>
          <w:tab w:val="left" w:leader="underscore" w:pos="9639"/>
        </w:tabs>
        <w:spacing w:after="0" w:line="240" w:lineRule="auto"/>
        <w:jc w:val="center"/>
        <w:rPr>
          <w:rFonts w:cs="Calibri"/>
          <w:b/>
          <w:bCs/>
        </w:rPr>
      </w:pPr>
    </w:p>
    <w:p w14:paraId="19CEE146" w14:textId="0080C658" w:rsidR="007D1E76" w:rsidRPr="004620C5" w:rsidRDefault="007D1E76" w:rsidP="00CB41C4">
      <w:pPr>
        <w:tabs>
          <w:tab w:val="left" w:leader="underscore" w:pos="9639"/>
        </w:tabs>
        <w:spacing w:after="0" w:line="240" w:lineRule="auto"/>
        <w:jc w:val="both"/>
        <w:rPr>
          <w:rFonts w:cs="Calibri"/>
          <w:b/>
        </w:rPr>
      </w:pPr>
      <w:r w:rsidRPr="00E74967">
        <w:rPr>
          <w:rFonts w:cs="Calibri"/>
          <w:b/>
        </w:rPr>
        <w:t>g</w:t>
      </w:r>
      <w:r w:rsidRPr="004620C5">
        <w:rPr>
          <w:rFonts w:cs="Calibri"/>
          <w:b/>
        </w:rPr>
        <w:t xml:space="preserve">) </w:t>
      </w:r>
      <w:r w:rsidR="00396D53" w:rsidRPr="004620C5">
        <w:rPr>
          <w:rFonts w:cs="Calibri"/>
          <w:b/>
        </w:rPr>
        <w:t>Fideicomisos de los cuales es fideicomitente o fideicomisario, y contratos análogos, incluyendo mandatos de los cuales es parte.</w:t>
      </w:r>
    </w:p>
    <w:p w14:paraId="6B9C3B7B" w14:textId="77777777" w:rsidR="007E3F3E" w:rsidRDefault="007E3F3E" w:rsidP="00CB41C4">
      <w:pPr>
        <w:tabs>
          <w:tab w:val="left" w:leader="underscore" w:pos="9639"/>
        </w:tabs>
        <w:spacing w:after="0" w:line="240" w:lineRule="auto"/>
        <w:jc w:val="both"/>
        <w:rPr>
          <w:rFonts w:cs="Calibri"/>
        </w:rPr>
      </w:pPr>
    </w:p>
    <w:p w14:paraId="7A1B9FBA" w14:textId="77777777" w:rsidR="007E3F3E" w:rsidRPr="00E53271" w:rsidRDefault="007E3F3E" w:rsidP="007E3F3E">
      <w:pPr>
        <w:tabs>
          <w:tab w:val="left" w:leader="underscore" w:pos="9639"/>
        </w:tabs>
        <w:spacing w:after="0" w:line="240" w:lineRule="auto"/>
        <w:jc w:val="both"/>
        <w:rPr>
          <w:rFonts w:cs="Calibri"/>
        </w:rPr>
      </w:pPr>
      <w:r w:rsidRPr="00E53271">
        <w:rPr>
          <w:rFonts w:cs="Calibri"/>
        </w:rPr>
        <w:t>Al periodo que se informa, el Municipio de Guanajuato no cuenta con fideicomisos, mandatos y análogos.</w:t>
      </w:r>
    </w:p>
    <w:p w14:paraId="63A2DD96" w14:textId="77777777" w:rsidR="007E3F3E" w:rsidRDefault="007E3F3E" w:rsidP="00CB41C4">
      <w:pPr>
        <w:tabs>
          <w:tab w:val="left" w:leader="underscore" w:pos="9639"/>
        </w:tabs>
        <w:spacing w:after="0" w:line="240" w:lineRule="auto"/>
        <w:jc w:val="both"/>
        <w:rPr>
          <w:rFonts w:cs="Calibri"/>
        </w:rPr>
      </w:pPr>
    </w:p>
    <w:p w14:paraId="4580F7E1" w14:textId="77777777" w:rsidR="000722D8" w:rsidRPr="00E74967" w:rsidRDefault="000722D8"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7" w:name="_Toc188953066"/>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7"/>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a) Si se ha observado la normatividad emitida por el CONAC y las disposiciones legales aplicables.</w:t>
      </w:r>
    </w:p>
    <w:p w14:paraId="5E407C7D" w14:textId="77777777" w:rsidR="007E3F3E" w:rsidRDefault="007E3F3E" w:rsidP="007E3F3E">
      <w:pPr>
        <w:spacing w:after="0"/>
        <w:jc w:val="both"/>
        <w:rPr>
          <w:rFonts w:cs="Arial"/>
        </w:rPr>
      </w:pPr>
    </w:p>
    <w:p w14:paraId="7FB25CD5" w14:textId="77777777" w:rsidR="000722D8" w:rsidRDefault="000722D8" w:rsidP="007E3F3E">
      <w:pPr>
        <w:spacing w:after="0"/>
        <w:jc w:val="both"/>
        <w:rPr>
          <w:rFonts w:cs="Arial"/>
        </w:rPr>
      </w:pPr>
    </w:p>
    <w:p w14:paraId="78A05F5F" w14:textId="77777777" w:rsidR="000722D8" w:rsidRDefault="000722D8" w:rsidP="007E3F3E">
      <w:pPr>
        <w:spacing w:after="0"/>
        <w:jc w:val="both"/>
        <w:rPr>
          <w:rFonts w:cs="Arial"/>
        </w:rPr>
      </w:pPr>
    </w:p>
    <w:p w14:paraId="6CE31243" w14:textId="7A2B366F" w:rsidR="007E3F3E" w:rsidRPr="00E53271" w:rsidRDefault="007E3F3E" w:rsidP="007E3F3E">
      <w:pPr>
        <w:spacing w:after="0"/>
        <w:jc w:val="both"/>
        <w:rPr>
          <w:rFonts w:cs="Arial"/>
        </w:rPr>
      </w:pPr>
      <w:r w:rsidRPr="00E53271">
        <w:rPr>
          <w:rFonts w:cs="Arial"/>
        </w:rPr>
        <w:t>El municipio ha observado el cumplimiento de las disposiciones legales emiti</w:t>
      </w:r>
      <w:r w:rsidR="000722D8">
        <w:rPr>
          <w:rFonts w:cs="Arial"/>
        </w:rPr>
        <w:t xml:space="preserve">das por el CONAC, con el objeto </w:t>
      </w:r>
      <w:r w:rsidRPr="00E53271">
        <w:rPr>
          <w:rFonts w:cs="Arial"/>
        </w:rPr>
        <w:t>de lograr la armonización contable acorde a la Ley General de Contabilidad Gubernamental.</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F4A2B3D" w14:textId="77777777" w:rsidR="007E3F3E" w:rsidRDefault="007E3F3E" w:rsidP="007E3F3E">
      <w:pPr>
        <w:spacing w:after="0"/>
        <w:jc w:val="both"/>
        <w:rPr>
          <w:rFonts w:cs="Arial"/>
        </w:rPr>
      </w:pPr>
    </w:p>
    <w:p w14:paraId="4DE9FD28" w14:textId="77777777" w:rsidR="007E3F3E" w:rsidRDefault="007E3F3E" w:rsidP="007E3F3E">
      <w:pPr>
        <w:spacing w:after="0"/>
        <w:jc w:val="both"/>
        <w:rPr>
          <w:rFonts w:cs="Arial"/>
        </w:rPr>
      </w:pPr>
      <w:r w:rsidRPr="00E53271">
        <w:rPr>
          <w:rFonts w:cs="Arial"/>
        </w:rPr>
        <w:t>La normatividad aplicada para el reconocimiento, valuación y revelación de los diferentes rubros de la información financiera y las bases de medición utilizadas para la elaboración de los estados financieros se encuentra alineada de acuerdo a las normas emitidas por el CONAC.</w:t>
      </w:r>
    </w:p>
    <w:p w14:paraId="7325CB45" w14:textId="77777777" w:rsidR="006A65AB" w:rsidRPr="00E53271" w:rsidRDefault="006A65AB" w:rsidP="007E3F3E">
      <w:pPr>
        <w:spacing w:after="0"/>
        <w:jc w:val="both"/>
        <w:rPr>
          <w:rFonts w:cs="Arial"/>
        </w:rPr>
      </w:pPr>
    </w:p>
    <w:p w14:paraId="24A1D3E1" w14:textId="77777777" w:rsidR="007E3F3E" w:rsidRPr="00E53271" w:rsidRDefault="007E3F3E" w:rsidP="007E3F3E">
      <w:pPr>
        <w:spacing w:after="0"/>
        <w:jc w:val="both"/>
        <w:rPr>
          <w:rFonts w:cs="Arial"/>
        </w:rPr>
      </w:pPr>
      <w:r w:rsidRPr="00E53271">
        <w:rPr>
          <w:rFonts w:cs="Arial"/>
        </w:rPr>
        <w:t>Las bases que se tomaron para la preparación de los estados financieros del presente periodo, fueron conforme a la Normatividad emitida a la fecha por el Consejo Nacional de Armonización Contable, Constitución Política para el Estado de Guanajuato, Ley de Fiscalización Superior del Estado de Guanajuato, Ley General de Contabilidad Gubernamental, Ley Orgánica Municipal para el Estado de Guanajuato, Ley de Responsabilidades Administrativas para el Estado de Guanajuato.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c) </w:t>
      </w:r>
      <w:r w:rsidR="00A6346D" w:rsidRPr="006A65AB">
        <w:rPr>
          <w:rFonts w:cs="Calibri"/>
          <w:b/>
        </w:rPr>
        <w:t>Postulados básicos de Contabilidad Gubernamental (PBCG)</w:t>
      </w:r>
      <w:r w:rsidRPr="006A65AB">
        <w:rPr>
          <w:rFonts w:cs="Calibri"/>
          <w:b/>
        </w:rPr>
        <w:t>.</w:t>
      </w:r>
    </w:p>
    <w:p w14:paraId="45C03266" w14:textId="77777777" w:rsidR="007E3F3E" w:rsidRDefault="007E3F3E" w:rsidP="007E3F3E">
      <w:pPr>
        <w:spacing w:after="0"/>
        <w:jc w:val="both"/>
        <w:rPr>
          <w:rFonts w:cs="Arial"/>
        </w:rPr>
      </w:pPr>
    </w:p>
    <w:p w14:paraId="70569C89" w14:textId="77777777" w:rsidR="007E3F3E" w:rsidRPr="00E53271" w:rsidRDefault="007E3F3E" w:rsidP="007E3F3E">
      <w:pPr>
        <w:spacing w:after="0"/>
        <w:jc w:val="both"/>
        <w:rPr>
          <w:rFonts w:cs="Arial"/>
        </w:rPr>
      </w:pPr>
      <w:r w:rsidRPr="00E53271">
        <w:rPr>
          <w:rFonts w:cs="Arial"/>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6A65AB">
        <w:rPr>
          <w:rFonts w:cs="Calibri"/>
          <w:b/>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6A65AB">
        <w:rPr>
          <w:rFonts w:cs="Calibri"/>
          <w:b/>
        </w:rPr>
        <w:t>Marco Conceptual de Contabilidad Gubernamental (MCCG) y sus modificaciones</w:t>
      </w:r>
      <w:r w:rsidR="0043078C" w:rsidRPr="0043078C">
        <w:rPr>
          <w:rFonts w:cs="Calibri"/>
        </w:rPr>
        <w:t>.</w:t>
      </w:r>
    </w:p>
    <w:p w14:paraId="1C1FF429" w14:textId="77777777" w:rsidR="007E3F3E" w:rsidRDefault="007E3F3E" w:rsidP="007E3F3E">
      <w:pPr>
        <w:spacing w:after="0"/>
        <w:jc w:val="both"/>
        <w:rPr>
          <w:rFonts w:cs="Arial"/>
        </w:rPr>
      </w:pPr>
    </w:p>
    <w:p w14:paraId="10E68E48" w14:textId="117F8714" w:rsidR="007E3F3E" w:rsidRPr="00E16610" w:rsidRDefault="007E3F3E" w:rsidP="00E16610">
      <w:pPr>
        <w:spacing w:after="0"/>
        <w:jc w:val="both"/>
        <w:rPr>
          <w:rFonts w:cs="Arial"/>
        </w:rPr>
      </w:pPr>
      <w:r w:rsidRPr="00E53271">
        <w:rPr>
          <w:rFonts w:cs="Arial"/>
        </w:rPr>
        <w:t>A la fecha no se aplica normatividad supletoria. La base del devengado conforme a la Ley de Contabilidad Gubernamental, se empezó a aplicar en el año 2010.</w:t>
      </w:r>
    </w:p>
    <w:p w14:paraId="77ED1B46" w14:textId="77777777" w:rsidR="007E3F3E" w:rsidRDefault="007E3F3E" w:rsidP="00CB41C4">
      <w:pPr>
        <w:tabs>
          <w:tab w:val="left" w:leader="underscore" w:pos="9639"/>
        </w:tabs>
        <w:spacing w:after="0" w:line="240" w:lineRule="auto"/>
        <w:jc w:val="both"/>
        <w:rPr>
          <w:rFonts w:cs="Calibri"/>
          <w:b/>
        </w:rPr>
      </w:pPr>
    </w:p>
    <w:p w14:paraId="084AD24A" w14:textId="4A679E5F" w:rsidR="007D1E76" w:rsidRPr="006A65AB" w:rsidRDefault="007D1E76" w:rsidP="00CB41C4">
      <w:pPr>
        <w:tabs>
          <w:tab w:val="left" w:leader="underscore" w:pos="9639"/>
        </w:tabs>
        <w:spacing w:after="0" w:line="240" w:lineRule="auto"/>
        <w:jc w:val="both"/>
        <w:rPr>
          <w:rFonts w:cs="Calibri"/>
          <w:b/>
        </w:rPr>
      </w:pPr>
      <w:r w:rsidRPr="006A65AB">
        <w:rPr>
          <w:rFonts w:cs="Calibri"/>
          <w:b/>
        </w:rPr>
        <w:lastRenderedPageBreak/>
        <w:t xml:space="preserve">e) Para las entidades que por primera vez estén implementando la base </w:t>
      </w:r>
      <w:r w:rsidR="0086420E" w:rsidRPr="006A65AB">
        <w:rPr>
          <w:rFonts w:cs="Calibri"/>
          <w:b/>
        </w:rPr>
        <w:t xml:space="preserve">de </w:t>
      </w:r>
      <w:r w:rsidRPr="006A65AB">
        <w:rPr>
          <w:rFonts w:cs="Calibri"/>
          <w:b/>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39696E5E" w14:textId="77777777" w:rsidR="006A65AB" w:rsidRDefault="006A65AB" w:rsidP="007E3F3E">
      <w:pPr>
        <w:spacing w:after="0"/>
        <w:jc w:val="both"/>
        <w:rPr>
          <w:rFonts w:eastAsia="Times New Roman" w:cs="Arial"/>
          <w:szCs w:val="16"/>
        </w:rPr>
      </w:pPr>
    </w:p>
    <w:p w14:paraId="4663C1EB" w14:textId="698549B4" w:rsidR="007E3F3E" w:rsidRPr="00E53271" w:rsidRDefault="007E3F3E" w:rsidP="007E3F3E">
      <w:pPr>
        <w:spacing w:after="0"/>
        <w:jc w:val="both"/>
        <w:rPr>
          <w:rFonts w:cs="Calibri"/>
          <w:b/>
        </w:rPr>
      </w:pPr>
      <w:r w:rsidRPr="00E53271">
        <w:rPr>
          <w:rFonts w:eastAsia="Times New Roman" w:cs="Arial"/>
          <w:szCs w:val="16"/>
        </w:rPr>
        <w:t>Esta nota no le aplica a este municipio.</w:t>
      </w:r>
      <w:r>
        <w:rPr>
          <w:rFonts w:eastAsia="Times New Roman" w:cs="Arial"/>
          <w:szCs w:val="16"/>
        </w:rPr>
        <w:t xml:space="preserve"> </w:t>
      </w:r>
      <w:r w:rsidRPr="00E53271">
        <w:rPr>
          <w:rFonts w:cs="Arial"/>
        </w:rPr>
        <w:t>La base del devengado conforme a la Ley de Contabilidad Gubernamental, se empezó a aplicar en el año 2010.</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6A65AB" w:rsidRDefault="007D1E76" w:rsidP="00CB41C4">
      <w:pPr>
        <w:tabs>
          <w:tab w:val="left" w:leader="underscore" w:pos="9639"/>
        </w:tabs>
        <w:spacing w:after="0" w:line="240" w:lineRule="auto"/>
        <w:jc w:val="both"/>
        <w:rPr>
          <w:rFonts w:cs="Calibri"/>
          <w:b/>
          <w:bCs/>
        </w:rPr>
      </w:pPr>
      <w:r w:rsidRPr="006A65AB">
        <w:rPr>
          <w:rFonts w:cs="Calibri"/>
          <w:b/>
          <w:bCs/>
        </w:rPr>
        <w:t>*Plan de implementación:</w:t>
      </w:r>
    </w:p>
    <w:p w14:paraId="4B273D75" w14:textId="72F717BD" w:rsidR="007D1E76" w:rsidRDefault="007D1E76" w:rsidP="00CB41C4">
      <w:pPr>
        <w:tabs>
          <w:tab w:val="left" w:leader="underscore" w:pos="9639"/>
        </w:tabs>
        <w:spacing w:after="0" w:line="240" w:lineRule="auto"/>
        <w:jc w:val="both"/>
        <w:rPr>
          <w:rFonts w:cs="Calibri"/>
        </w:rPr>
      </w:pPr>
    </w:p>
    <w:p w14:paraId="0C56ACE4" w14:textId="7394978E" w:rsidR="007E3F3E" w:rsidRPr="007E3F3E" w:rsidRDefault="007E3F3E" w:rsidP="007E3F3E">
      <w:pPr>
        <w:spacing w:after="0"/>
        <w:jc w:val="both"/>
        <w:rPr>
          <w:rFonts w:cs="Calibri"/>
          <w:b/>
        </w:rPr>
      </w:pPr>
      <w:r w:rsidRPr="00E53271">
        <w:rPr>
          <w:rFonts w:eastAsia="Times New Roman" w:cs="Arial"/>
          <w:szCs w:val="16"/>
        </w:rPr>
        <w:t>Esta nota no le aplica a este municipio.</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6A65AB" w:rsidRDefault="007D1E76" w:rsidP="00CB41C4">
      <w:pPr>
        <w:tabs>
          <w:tab w:val="left" w:leader="underscore" w:pos="9639"/>
        </w:tabs>
        <w:spacing w:after="0" w:line="240" w:lineRule="auto"/>
        <w:jc w:val="both"/>
        <w:rPr>
          <w:rFonts w:cs="Calibri"/>
          <w:b/>
          <w:bCs/>
        </w:rPr>
      </w:pPr>
      <w:r w:rsidRPr="006A65AB">
        <w:rPr>
          <w:rFonts w:cs="Calibri"/>
          <w:b/>
          <w:bCs/>
        </w:rPr>
        <w:t>*Revelar los cambios en las políticas, la clasificación y medición de las mismas, así como su impacto en la información financiera:</w:t>
      </w:r>
    </w:p>
    <w:p w14:paraId="0360043A" w14:textId="26870A37" w:rsidR="007D1E76" w:rsidRDefault="007D1E76" w:rsidP="00CB41C4">
      <w:pPr>
        <w:tabs>
          <w:tab w:val="left" w:leader="underscore" w:pos="9639"/>
        </w:tabs>
        <w:spacing w:after="0" w:line="240" w:lineRule="auto"/>
        <w:jc w:val="both"/>
        <w:rPr>
          <w:rFonts w:cs="Calibri"/>
        </w:rPr>
      </w:pPr>
    </w:p>
    <w:p w14:paraId="771F3335" w14:textId="77777777" w:rsidR="007E3F3E" w:rsidRPr="00E53271" w:rsidRDefault="007E3F3E" w:rsidP="007E3F3E">
      <w:pPr>
        <w:spacing w:after="0"/>
        <w:jc w:val="both"/>
        <w:rPr>
          <w:rFonts w:cs="Calibri"/>
          <w:b/>
        </w:rPr>
      </w:pPr>
      <w:r w:rsidRPr="00E53271">
        <w:rPr>
          <w:rFonts w:eastAsia="Times New Roman" w:cs="Arial"/>
          <w:szCs w:val="16"/>
        </w:rPr>
        <w:t>Esta nota no le aplica a este municipio.</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6A65AB" w:rsidRDefault="006F0687" w:rsidP="006F0687">
      <w:pPr>
        <w:tabs>
          <w:tab w:val="left" w:leader="underscore" w:pos="9639"/>
        </w:tabs>
        <w:spacing w:after="0" w:line="240" w:lineRule="auto"/>
        <w:jc w:val="both"/>
        <w:rPr>
          <w:rFonts w:cs="Calibri"/>
          <w:b/>
          <w:bCs/>
        </w:rPr>
      </w:pPr>
      <w:r w:rsidRPr="006A65AB">
        <w:rPr>
          <w:rFonts w:cs="Calibri"/>
          <w:b/>
          <w:bCs/>
        </w:rPr>
        <w:t>*</w:t>
      </w:r>
      <w:r w:rsidR="00D546B2" w:rsidRPr="006A65AB">
        <w:rPr>
          <w:rFonts w:cs="Calibri"/>
          <w:b/>
          <w:bCs/>
        </w:rPr>
        <w:t>Presentar los últimos estados financieros con la normatividad anteriormente utilizada con las nuevas políticas para fines de comparación en la transición a la base de devengado.</w:t>
      </w:r>
    </w:p>
    <w:p w14:paraId="158EC49E" w14:textId="77777777" w:rsidR="007D1E76" w:rsidRDefault="007D1E76" w:rsidP="00CB41C4">
      <w:pPr>
        <w:tabs>
          <w:tab w:val="left" w:leader="underscore" w:pos="9639"/>
        </w:tabs>
        <w:spacing w:after="0" w:line="240" w:lineRule="auto"/>
        <w:jc w:val="both"/>
        <w:rPr>
          <w:rFonts w:cs="Calibri"/>
        </w:rPr>
      </w:pPr>
    </w:p>
    <w:p w14:paraId="271F5ADC" w14:textId="77777777" w:rsidR="007E3F3E" w:rsidRPr="00E53271" w:rsidRDefault="007E3F3E" w:rsidP="007E3F3E">
      <w:pPr>
        <w:spacing w:after="0"/>
        <w:jc w:val="both"/>
        <w:rPr>
          <w:rFonts w:cs="Calibri"/>
          <w:b/>
        </w:rPr>
      </w:pPr>
      <w:r w:rsidRPr="00E53271">
        <w:rPr>
          <w:rFonts w:eastAsia="Times New Roman" w:cs="Arial"/>
          <w:szCs w:val="16"/>
        </w:rPr>
        <w:t>Esta nota no le aplica a este municipio.</w:t>
      </w:r>
    </w:p>
    <w:p w14:paraId="02FC60EF" w14:textId="77777777" w:rsidR="007E3F3E" w:rsidRPr="00E74967" w:rsidRDefault="007E3F3E"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8" w:name="_Toc188953067"/>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8"/>
    </w:p>
    <w:p w14:paraId="6E171C3A" w14:textId="77777777" w:rsidR="006A65AB" w:rsidRDefault="006A65AB" w:rsidP="00AF4375">
      <w:pPr>
        <w:tabs>
          <w:tab w:val="left" w:leader="underscore" w:pos="9639"/>
        </w:tabs>
        <w:spacing w:after="0" w:line="240" w:lineRule="auto"/>
        <w:jc w:val="both"/>
        <w:rPr>
          <w:rFonts w:cs="Calibri"/>
        </w:rPr>
      </w:pPr>
    </w:p>
    <w:p w14:paraId="685C2AC3" w14:textId="1CBBDCEC" w:rsid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0DFB7903" w14:textId="77777777" w:rsidR="006A65AB" w:rsidRPr="00AF4375" w:rsidRDefault="006A65AB" w:rsidP="00AF4375">
      <w:pPr>
        <w:tabs>
          <w:tab w:val="left" w:leader="underscore" w:pos="9639"/>
        </w:tabs>
        <w:spacing w:after="0" w:line="240" w:lineRule="auto"/>
        <w:jc w:val="both"/>
        <w:rPr>
          <w:rFonts w:cs="Calibri"/>
        </w:rPr>
      </w:pP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a) </w:t>
      </w:r>
      <w:r w:rsidR="00FC1AE8" w:rsidRPr="006A65AB">
        <w:rPr>
          <w:rFonts w:cs="Calibri"/>
          <w:b/>
        </w:rPr>
        <w:t>Actualización: se informará del método utilizado para la actualización del valor de los activos, pasivos y Hacienda Pública/Patrimonio y las razones de dicha elección. Así como informar de la desconexión o reconexión inflacionaria</w:t>
      </w:r>
      <w:r w:rsidRPr="006A65AB">
        <w:rPr>
          <w:rFonts w:cs="Calibri"/>
          <w:b/>
        </w:rPr>
        <w:t>:</w:t>
      </w:r>
    </w:p>
    <w:p w14:paraId="6424AB8E" w14:textId="77777777" w:rsidR="007E3F3E" w:rsidRDefault="007E3F3E" w:rsidP="007E3F3E">
      <w:pPr>
        <w:spacing w:after="0"/>
        <w:jc w:val="both"/>
        <w:rPr>
          <w:rFonts w:eastAsia="Times New Roman" w:cs="Arial"/>
          <w:szCs w:val="16"/>
        </w:rPr>
      </w:pPr>
    </w:p>
    <w:p w14:paraId="2923F96E" w14:textId="77777777" w:rsidR="007E3F3E" w:rsidRPr="00E53271" w:rsidRDefault="007E3F3E" w:rsidP="007E3F3E">
      <w:pPr>
        <w:spacing w:after="0"/>
        <w:jc w:val="both"/>
        <w:rPr>
          <w:rFonts w:cs="Calibri"/>
        </w:rPr>
      </w:pPr>
      <w:r w:rsidRPr="00E53271">
        <w:rPr>
          <w:rFonts w:eastAsia="Times New Roman" w:cs="Arial"/>
          <w:szCs w:val="16"/>
        </w:rPr>
        <w:t>Hasta este periodo no se han utilizado métodos de actualización para el activo, pasivo y hacienda pública.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b) </w:t>
      </w:r>
      <w:r w:rsidR="001C710C" w:rsidRPr="006A65AB">
        <w:rPr>
          <w:rFonts w:cs="Calibri"/>
          <w:b/>
        </w:rPr>
        <w:t>Informar sobre la realización de operaciones en el extranjero y de sus efectos en la información financiera gubernamental, considerando entre otros el importe de las variaciones cambiarias reconocidas en el resultado (ahorro o desahorro)</w:t>
      </w:r>
      <w:r w:rsidRPr="006A65AB">
        <w:rPr>
          <w:rFonts w:cs="Calibri"/>
          <w:b/>
        </w:rPr>
        <w:t>:</w:t>
      </w:r>
    </w:p>
    <w:p w14:paraId="35FCED94" w14:textId="77777777" w:rsidR="007D1E76" w:rsidRDefault="007D1E76" w:rsidP="00CB41C4">
      <w:pPr>
        <w:tabs>
          <w:tab w:val="left" w:leader="underscore" w:pos="9639"/>
        </w:tabs>
        <w:spacing w:after="0" w:line="240" w:lineRule="auto"/>
        <w:jc w:val="both"/>
        <w:rPr>
          <w:rFonts w:cs="Calibri"/>
        </w:rPr>
      </w:pPr>
    </w:p>
    <w:p w14:paraId="6CFDB50C" w14:textId="77777777" w:rsidR="007E3F3E" w:rsidRPr="00E53271" w:rsidRDefault="007E3F3E" w:rsidP="007E3F3E">
      <w:pPr>
        <w:spacing w:after="0"/>
        <w:jc w:val="both"/>
        <w:rPr>
          <w:rFonts w:cs="Calibri"/>
        </w:rPr>
      </w:pPr>
      <w:r w:rsidRPr="00E53271">
        <w:rPr>
          <w:rFonts w:eastAsia="Times New Roman" w:cs="Arial"/>
          <w:szCs w:val="16"/>
        </w:rPr>
        <w:t>Al periodo no se han realizado operaciones en el extranjero.</w:t>
      </w:r>
    </w:p>
    <w:p w14:paraId="4FB1A46C" w14:textId="77777777" w:rsidR="007E3F3E" w:rsidRPr="00E74967" w:rsidRDefault="007E3F3E" w:rsidP="00CB41C4">
      <w:pPr>
        <w:tabs>
          <w:tab w:val="left" w:leader="underscore" w:pos="9639"/>
        </w:tabs>
        <w:spacing w:after="0" w:line="240" w:lineRule="auto"/>
        <w:jc w:val="both"/>
        <w:rPr>
          <w:rFonts w:cs="Calibri"/>
        </w:rPr>
      </w:pPr>
    </w:p>
    <w:p w14:paraId="433324F3" w14:textId="626DBDA7"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c) </w:t>
      </w:r>
      <w:r w:rsidR="00E9132F" w:rsidRPr="006A65AB">
        <w:rPr>
          <w:rFonts w:cs="Calibri"/>
          <w:b/>
        </w:rPr>
        <w:t>Método de valuación de la inversión en acciones de Compañías subsidiarias no consolidadas y asociadas</w:t>
      </w:r>
      <w:r w:rsidRPr="006A65AB">
        <w:rPr>
          <w:rFonts w:cs="Calibri"/>
          <w:b/>
        </w:rPr>
        <w:t>:</w:t>
      </w:r>
    </w:p>
    <w:p w14:paraId="5C178A30" w14:textId="77777777" w:rsidR="007E3F3E" w:rsidRDefault="007E3F3E" w:rsidP="00CB41C4">
      <w:pPr>
        <w:tabs>
          <w:tab w:val="left" w:leader="underscore" w:pos="9639"/>
        </w:tabs>
        <w:spacing w:after="0" w:line="240" w:lineRule="auto"/>
        <w:jc w:val="both"/>
        <w:rPr>
          <w:rFonts w:cs="Calibri"/>
        </w:rPr>
      </w:pPr>
    </w:p>
    <w:p w14:paraId="0E1D44F5" w14:textId="3F0E3A12" w:rsidR="007E3F3E" w:rsidRDefault="007E3F3E" w:rsidP="00CB41C4">
      <w:pPr>
        <w:tabs>
          <w:tab w:val="left" w:leader="underscore" w:pos="9639"/>
        </w:tabs>
        <w:spacing w:after="0" w:line="240" w:lineRule="auto"/>
        <w:jc w:val="both"/>
        <w:rPr>
          <w:rFonts w:eastAsia="Times New Roman" w:cs="Arial"/>
          <w:szCs w:val="16"/>
        </w:rPr>
      </w:pPr>
      <w:r w:rsidRPr="00E53271">
        <w:rPr>
          <w:rFonts w:eastAsia="Times New Roman" w:cs="Arial"/>
          <w:szCs w:val="16"/>
        </w:rPr>
        <w:t>Al periodo no se tienen inversiones en acciones de Compañías subsidiarias no consolidadas y asociadas.</w:t>
      </w:r>
    </w:p>
    <w:p w14:paraId="1FD69610" w14:textId="77777777" w:rsidR="007E3F3E" w:rsidRPr="00E74967" w:rsidRDefault="007E3F3E" w:rsidP="00CB41C4">
      <w:pPr>
        <w:tabs>
          <w:tab w:val="left" w:leader="underscore" w:pos="9639"/>
        </w:tabs>
        <w:spacing w:after="0" w:line="240" w:lineRule="auto"/>
        <w:jc w:val="both"/>
        <w:rPr>
          <w:rFonts w:cs="Calibri"/>
        </w:rPr>
      </w:pPr>
    </w:p>
    <w:p w14:paraId="7AB12262"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d) Sistema y método de valuación de inventarios y costo de lo vendido:</w:t>
      </w:r>
    </w:p>
    <w:p w14:paraId="0B282127" w14:textId="77777777" w:rsidR="007D1E76" w:rsidRDefault="007D1E76" w:rsidP="00CB41C4">
      <w:pPr>
        <w:tabs>
          <w:tab w:val="left" w:leader="underscore" w:pos="9639"/>
        </w:tabs>
        <w:spacing w:after="0" w:line="240" w:lineRule="auto"/>
        <w:jc w:val="both"/>
        <w:rPr>
          <w:rFonts w:cs="Calibri"/>
        </w:rPr>
      </w:pPr>
    </w:p>
    <w:p w14:paraId="0B4FE720" w14:textId="77777777" w:rsidR="007E3F3E" w:rsidRPr="00E53271" w:rsidRDefault="007E3F3E" w:rsidP="007E3F3E">
      <w:pPr>
        <w:spacing w:after="0"/>
        <w:jc w:val="both"/>
        <w:rPr>
          <w:rFonts w:cs="Calibri"/>
        </w:rPr>
      </w:pPr>
      <w:r w:rsidRPr="00E53271">
        <w:rPr>
          <w:rFonts w:eastAsia="Times New Roman" w:cs="Arial"/>
          <w:szCs w:val="16"/>
        </w:rPr>
        <w:t>Al periodo no se cuenta con inventario de mercancías para venta, por lo que no se tiene un método de valuación y costo de lo vendido</w:t>
      </w:r>
      <w:r w:rsidRPr="00E53271">
        <w:rPr>
          <w:rFonts w:ascii="Arial" w:hAnsi="Arial" w:cs="Arial"/>
          <w:sz w:val="16"/>
          <w:szCs w:val="16"/>
        </w:rPr>
        <w:t>.</w:t>
      </w:r>
    </w:p>
    <w:p w14:paraId="1B6EF8EA" w14:textId="77777777" w:rsidR="007E3F3E" w:rsidRPr="00E74967" w:rsidRDefault="007E3F3E" w:rsidP="00CB41C4">
      <w:pPr>
        <w:tabs>
          <w:tab w:val="left" w:leader="underscore" w:pos="9639"/>
        </w:tabs>
        <w:spacing w:after="0" w:line="240" w:lineRule="auto"/>
        <w:jc w:val="both"/>
        <w:rPr>
          <w:rFonts w:cs="Calibri"/>
        </w:rPr>
      </w:pPr>
    </w:p>
    <w:p w14:paraId="1D8C904A"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e) Beneficios a empleados: revelar el cálculo de la reserva actuarial, valor presente de los ingresos esperados comparado con el valor presente de la estimación de gastos tanto de los beneficiarios actuales como futuros:</w:t>
      </w:r>
    </w:p>
    <w:p w14:paraId="6636D845" w14:textId="77777777" w:rsidR="007D1E76" w:rsidRDefault="007D1E76" w:rsidP="00CB41C4">
      <w:pPr>
        <w:tabs>
          <w:tab w:val="left" w:leader="underscore" w:pos="9639"/>
        </w:tabs>
        <w:spacing w:after="0" w:line="240" w:lineRule="auto"/>
        <w:jc w:val="both"/>
        <w:rPr>
          <w:rFonts w:cs="Calibri"/>
        </w:rPr>
      </w:pPr>
    </w:p>
    <w:p w14:paraId="696D7C53" w14:textId="77777777" w:rsidR="00761960" w:rsidRPr="006A65AB" w:rsidRDefault="00761960" w:rsidP="00761960">
      <w:pPr>
        <w:spacing w:after="0"/>
        <w:jc w:val="both"/>
        <w:rPr>
          <w:rFonts w:cs="Calibri"/>
          <w:b/>
          <w:bCs/>
        </w:rPr>
      </w:pPr>
      <w:r w:rsidRPr="006A65AB">
        <w:rPr>
          <w:rFonts w:eastAsia="Times New Roman" w:cs="Arial"/>
          <w:b/>
          <w:bCs/>
          <w:szCs w:val="16"/>
        </w:rPr>
        <w:t>Al periodo no se tienen beneficios para empleados en cuestión de reserva actuarial.</w:t>
      </w:r>
    </w:p>
    <w:p w14:paraId="284767AD" w14:textId="77777777" w:rsidR="00761960" w:rsidRPr="00E74967" w:rsidRDefault="00761960"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77777777" w:rsidR="007D1E76" w:rsidRDefault="007D1E76" w:rsidP="00CB41C4">
      <w:pPr>
        <w:tabs>
          <w:tab w:val="left" w:leader="underscore" w:pos="9639"/>
        </w:tabs>
        <w:spacing w:after="0" w:line="240" w:lineRule="auto"/>
        <w:jc w:val="both"/>
        <w:rPr>
          <w:rFonts w:cs="Calibri"/>
        </w:rPr>
      </w:pPr>
    </w:p>
    <w:p w14:paraId="2D74496A" w14:textId="77777777" w:rsidR="00761960" w:rsidRPr="00E53271" w:rsidRDefault="00761960" w:rsidP="00761960">
      <w:pPr>
        <w:spacing w:after="0"/>
        <w:jc w:val="both"/>
        <w:rPr>
          <w:rFonts w:cs="Calibri"/>
        </w:rPr>
      </w:pPr>
      <w:r w:rsidRPr="00E53271">
        <w:rPr>
          <w:rFonts w:eastAsia="Times New Roman" w:cs="Arial"/>
          <w:szCs w:val="16"/>
        </w:rPr>
        <w:t>Al periodo contablemente no se tienen provisiones.</w:t>
      </w:r>
    </w:p>
    <w:p w14:paraId="67BF357F" w14:textId="77777777" w:rsidR="00761960" w:rsidRPr="00E74967" w:rsidRDefault="00761960" w:rsidP="00CB41C4">
      <w:pPr>
        <w:tabs>
          <w:tab w:val="left" w:leader="underscore" w:pos="9639"/>
        </w:tabs>
        <w:spacing w:after="0" w:line="240" w:lineRule="auto"/>
        <w:jc w:val="both"/>
        <w:rPr>
          <w:rFonts w:cs="Calibri"/>
        </w:rPr>
      </w:pPr>
    </w:p>
    <w:p w14:paraId="4190001D"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g) Reservas: objetivo de su creación, monto y plazo:</w:t>
      </w:r>
    </w:p>
    <w:p w14:paraId="48187B92" w14:textId="77777777" w:rsidR="007D1E76" w:rsidRDefault="007D1E76" w:rsidP="00CB41C4">
      <w:pPr>
        <w:tabs>
          <w:tab w:val="left" w:leader="underscore" w:pos="9639"/>
        </w:tabs>
        <w:spacing w:after="0" w:line="240" w:lineRule="auto"/>
        <w:jc w:val="both"/>
        <w:rPr>
          <w:rFonts w:cs="Calibri"/>
        </w:rPr>
      </w:pPr>
    </w:p>
    <w:p w14:paraId="10680175" w14:textId="77777777" w:rsidR="00761960" w:rsidRPr="00E53271" w:rsidRDefault="00761960" w:rsidP="00761960">
      <w:pPr>
        <w:spacing w:after="0"/>
        <w:jc w:val="both"/>
        <w:rPr>
          <w:rFonts w:cs="Calibri"/>
        </w:rPr>
      </w:pPr>
      <w:r w:rsidRPr="00E53271">
        <w:rPr>
          <w:rFonts w:eastAsia="Times New Roman" w:cs="Arial"/>
          <w:szCs w:val="16"/>
        </w:rPr>
        <w:t>Al periodo contablemente no se tienen reservas.</w:t>
      </w:r>
    </w:p>
    <w:p w14:paraId="0AC70719" w14:textId="77777777" w:rsidR="00761960" w:rsidRPr="00E74967" w:rsidRDefault="00761960" w:rsidP="00CB41C4">
      <w:pPr>
        <w:tabs>
          <w:tab w:val="left" w:leader="underscore" w:pos="9639"/>
        </w:tabs>
        <w:spacing w:after="0" w:line="240" w:lineRule="auto"/>
        <w:jc w:val="both"/>
        <w:rPr>
          <w:rFonts w:cs="Calibri"/>
        </w:rPr>
      </w:pPr>
    </w:p>
    <w:p w14:paraId="6E497DBB"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h) Cambios en políticas contables y corrección de errores junto con la revelación de los efectos que se tendrá en la información financiera del ente público, ya sea retrospectivos o prospectivos:</w:t>
      </w:r>
    </w:p>
    <w:p w14:paraId="2B6668A3" w14:textId="77777777" w:rsidR="007D1E76" w:rsidRDefault="007D1E76" w:rsidP="00CB41C4">
      <w:pPr>
        <w:tabs>
          <w:tab w:val="left" w:leader="underscore" w:pos="9639"/>
        </w:tabs>
        <w:spacing w:after="0" w:line="240" w:lineRule="auto"/>
        <w:jc w:val="both"/>
        <w:rPr>
          <w:rFonts w:cs="Calibri"/>
        </w:rPr>
      </w:pPr>
    </w:p>
    <w:p w14:paraId="42AA31F0" w14:textId="77777777" w:rsidR="00761960" w:rsidRPr="00E53271" w:rsidRDefault="00761960" w:rsidP="00761960">
      <w:pPr>
        <w:spacing w:after="0"/>
        <w:jc w:val="both"/>
        <w:rPr>
          <w:rFonts w:cs="Calibri"/>
        </w:rPr>
      </w:pPr>
      <w:r w:rsidRPr="00E53271">
        <w:rPr>
          <w:rFonts w:eastAsia="Times New Roman" w:cs="Arial"/>
          <w:szCs w:val="16"/>
        </w:rPr>
        <w:t>Los cambios en políticas contables que se llevaron a cabo en este ente público para la emisión de información financiera, fueron de acuerdo la Ley General de Contabilidad Gubernamental y la Normatividad vigente emitida por el CONAC hasta el periodo que se informa.</w:t>
      </w:r>
    </w:p>
    <w:p w14:paraId="5CABB777" w14:textId="77777777" w:rsidR="00761960" w:rsidRPr="00E74967" w:rsidRDefault="00761960" w:rsidP="00CB41C4">
      <w:pPr>
        <w:tabs>
          <w:tab w:val="left" w:leader="underscore" w:pos="9639"/>
        </w:tabs>
        <w:spacing w:after="0" w:line="240" w:lineRule="auto"/>
        <w:jc w:val="both"/>
        <w:rPr>
          <w:rFonts w:cs="Calibri"/>
        </w:rPr>
      </w:pPr>
    </w:p>
    <w:p w14:paraId="4AD60C8C" w14:textId="77777777" w:rsidR="006A65AB" w:rsidRDefault="006A65AB" w:rsidP="00CB41C4">
      <w:pPr>
        <w:tabs>
          <w:tab w:val="left" w:leader="underscore" w:pos="9639"/>
        </w:tabs>
        <w:spacing w:after="0" w:line="240" w:lineRule="auto"/>
        <w:jc w:val="both"/>
        <w:rPr>
          <w:rFonts w:cs="Calibri"/>
          <w:b/>
        </w:rPr>
      </w:pPr>
    </w:p>
    <w:p w14:paraId="3A6A6277" w14:textId="77777777" w:rsidR="006A65AB" w:rsidRDefault="006A65AB" w:rsidP="00CB41C4">
      <w:pPr>
        <w:tabs>
          <w:tab w:val="left" w:leader="underscore" w:pos="9639"/>
        </w:tabs>
        <w:spacing w:after="0" w:line="240" w:lineRule="auto"/>
        <w:jc w:val="both"/>
        <w:rPr>
          <w:rFonts w:cs="Calibri"/>
          <w:b/>
        </w:rPr>
      </w:pPr>
    </w:p>
    <w:p w14:paraId="12C8FA9A" w14:textId="10AC3B44" w:rsidR="007D1E76" w:rsidRPr="006A65AB" w:rsidRDefault="007D1E76" w:rsidP="00CB41C4">
      <w:pPr>
        <w:tabs>
          <w:tab w:val="left" w:leader="underscore" w:pos="9639"/>
        </w:tabs>
        <w:spacing w:after="0" w:line="240" w:lineRule="auto"/>
        <w:jc w:val="both"/>
        <w:rPr>
          <w:rFonts w:cs="Calibri"/>
          <w:b/>
        </w:rPr>
      </w:pPr>
      <w:r w:rsidRPr="006A65AB">
        <w:rPr>
          <w:rFonts w:cs="Calibri"/>
          <w:b/>
        </w:rPr>
        <w:t>i) Reclasificaciones: Se deben revelar todos aquellos movimientos entre cuentas por efectos de cambios en los tipos de operaciones:</w:t>
      </w:r>
    </w:p>
    <w:p w14:paraId="5B964C83" w14:textId="77777777" w:rsidR="00761960" w:rsidRDefault="00761960" w:rsidP="00761960">
      <w:pPr>
        <w:spacing w:after="0"/>
        <w:jc w:val="both"/>
        <w:rPr>
          <w:rFonts w:eastAsia="Times New Roman" w:cs="Arial"/>
          <w:szCs w:val="16"/>
        </w:rPr>
      </w:pPr>
    </w:p>
    <w:p w14:paraId="488619BD" w14:textId="77777777" w:rsidR="00761960" w:rsidRPr="00E53271" w:rsidRDefault="00761960" w:rsidP="00761960">
      <w:pPr>
        <w:spacing w:after="0"/>
        <w:jc w:val="both"/>
        <w:rPr>
          <w:rFonts w:cs="Calibri"/>
        </w:rPr>
      </w:pPr>
      <w:r w:rsidRPr="00E53271">
        <w:rPr>
          <w:rFonts w:eastAsia="Times New Roman" w:cs="Arial"/>
          <w:szCs w:val="16"/>
        </w:rPr>
        <w:t>Las reclasificaciones realizadas en el periodo son reclasificaciones contables que no efectúan cambios en los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j) Depuración y cancelación de saldos:</w:t>
      </w:r>
    </w:p>
    <w:p w14:paraId="051C6058" w14:textId="77777777" w:rsidR="00E00323" w:rsidRDefault="00E00323" w:rsidP="00CB41C4">
      <w:pPr>
        <w:tabs>
          <w:tab w:val="left" w:leader="underscore" w:pos="9639"/>
        </w:tabs>
        <w:spacing w:after="0" w:line="240" w:lineRule="auto"/>
        <w:jc w:val="both"/>
        <w:rPr>
          <w:rFonts w:cs="Calibri"/>
        </w:rPr>
      </w:pPr>
    </w:p>
    <w:p w14:paraId="649A90E8" w14:textId="77777777" w:rsidR="00761960" w:rsidRPr="00E53271" w:rsidRDefault="00761960" w:rsidP="00761960">
      <w:pPr>
        <w:spacing w:after="0"/>
        <w:jc w:val="both"/>
        <w:rPr>
          <w:rFonts w:cs="Calibri"/>
        </w:rPr>
      </w:pPr>
      <w:r w:rsidRPr="00E53271">
        <w:rPr>
          <w:rFonts w:eastAsia="Times New Roman" w:cs="Arial"/>
          <w:szCs w:val="16"/>
        </w:rPr>
        <w:t>Al periodo no se han realizado depuraciones de saldos.</w:t>
      </w:r>
    </w:p>
    <w:p w14:paraId="5E18484D" w14:textId="77777777" w:rsidR="00761960" w:rsidRPr="00E74967" w:rsidRDefault="00761960"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9" w:name="_Toc188953068"/>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9"/>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a) Activos en moneda extranjera:</w:t>
      </w:r>
    </w:p>
    <w:p w14:paraId="43F08C55" w14:textId="77777777" w:rsidR="007D1E76" w:rsidRDefault="007D1E76" w:rsidP="00CB41C4">
      <w:pPr>
        <w:tabs>
          <w:tab w:val="left" w:leader="underscore" w:pos="9639"/>
        </w:tabs>
        <w:spacing w:after="0" w:line="240" w:lineRule="auto"/>
        <w:jc w:val="both"/>
        <w:rPr>
          <w:rFonts w:cs="Calibri"/>
        </w:rPr>
      </w:pPr>
    </w:p>
    <w:p w14:paraId="71CEB671" w14:textId="77777777" w:rsidR="001A004E" w:rsidRPr="00E53271" w:rsidRDefault="001A004E" w:rsidP="001A004E">
      <w:pPr>
        <w:spacing w:after="0"/>
        <w:jc w:val="both"/>
        <w:rPr>
          <w:rFonts w:cs="Calibri"/>
        </w:rPr>
      </w:pPr>
      <w:r w:rsidRPr="00E53271">
        <w:rPr>
          <w:rFonts w:eastAsia="Times New Roman" w:cs="Arial"/>
          <w:szCs w:val="16"/>
        </w:rPr>
        <w:t>No se tienen activos en Moneda Extranjera</w:t>
      </w:r>
    </w:p>
    <w:p w14:paraId="688F6192" w14:textId="77777777" w:rsidR="001A004E" w:rsidRPr="00E74967" w:rsidRDefault="001A004E" w:rsidP="00CB41C4">
      <w:pPr>
        <w:tabs>
          <w:tab w:val="left" w:leader="underscore" w:pos="9639"/>
        </w:tabs>
        <w:spacing w:after="0" w:line="240" w:lineRule="auto"/>
        <w:jc w:val="both"/>
        <w:rPr>
          <w:rFonts w:cs="Calibri"/>
        </w:rPr>
      </w:pPr>
    </w:p>
    <w:p w14:paraId="7E447291"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b) Pasivos en moneda extranjera:</w:t>
      </w:r>
    </w:p>
    <w:p w14:paraId="54FFA38F" w14:textId="77777777" w:rsidR="007D1E76" w:rsidRDefault="007D1E76" w:rsidP="00CB41C4">
      <w:pPr>
        <w:tabs>
          <w:tab w:val="left" w:leader="underscore" w:pos="9639"/>
        </w:tabs>
        <w:spacing w:after="0" w:line="240" w:lineRule="auto"/>
        <w:jc w:val="both"/>
        <w:rPr>
          <w:rFonts w:cs="Calibri"/>
        </w:rPr>
      </w:pPr>
    </w:p>
    <w:p w14:paraId="7755F01C" w14:textId="77777777" w:rsidR="001A004E" w:rsidRPr="00E53271" w:rsidRDefault="001A004E" w:rsidP="001A004E">
      <w:pPr>
        <w:spacing w:after="0"/>
        <w:jc w:val="both"/>
        <w:rPr>
          <w:rFonts w:cs="Calibri"/>
        </w:rPr>
      </w:pPr>
      <w:r w:rsidRPr="00E53271">
        <w:rPr>
          <w:rFonts w:eastAsia="Times New Roman" w:cs="Arial"/>
          <w:szCs w:val="16"/>
        </w:rPr>
        <w:t>No se tienen pasivos en Moneda Extranjera</w:t>
      </w:r>
    </w:p>
    <w:p w14:paraId="2494B0F8" w14:textId="77777777" w:rsidR="001A004E" w:rsidRPr="00E74967" w:rsidRDefault="001A004E" w:rsidP="00CB41C4">
      <w:pPr>
        <w:tabs>
          <w:tab w:val="left" w:leader="underscore" w:pos="9639"/>
        </w:tabs>
        <w:spacing w:after="0" w:line="240" w:lineRule="auto"/>
        <w:jc w:val="both"/>
        <w:rPr>
          <w:rFonts w:cs="Calibri"/>
        </w:rPr>
      </w:pPr>
    </w:p>
    <w:p w14:paraId="6E3298C9"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c) Posición en moneda extranjera:</w:t>
      </w:r>
    </w:p>
    <w:p w14:paraId="273CC39D" w14:textId="77777777" w:rsidR="007D1E76" w:rsidRDefault="007D1E76" w:rsidP="00CB41C4">
      <w:pPr>
        <w:tabs>
          <w:tab w:val="left" w:leader="underscore" w:pos="9639"/>
        </w:tabs>
        <w:spacing w:after="0" w:line="240" w:lineRule="auto"/>
        <w:jc w:val="both"/>
        <w:rPr>
          <w:rFonts w:cs="Calibri"/>
        </w:rPr>
      </w:pPr>
    </w:p>
    <w:p w14:paraId="6B399CCC" w14:textId="77777777" w:rsidR="001A004E" w:rsidRPr="00E53271" w:rsidRDefault="001A004E" w:rsidP="001A004E">
      <w:pPr>
        <w:spacing w:after="0"/>
        <w:jc w:val="both"/>
        <w:rPr>
          <w:rFonts w:cs="Calibri"/>
        </w:rPr>
      </w:pPr>
      <w:r w:rsidRPr="00E53271">
        <w:rPr>
          <w:rFonts w:eastAsia="Times New Roman" w:cs="Arial"/>
          <w:szCs w:val="16"/>
        </w:rPr>
        <w:t>No se tienen activos en Moneda Extranjera</w:t>
      </w:r>
    </w:p>
    <w:p w14:paraId="2FB26E2E" w14:textId="77777777" w:rsidR="001A004E" w:rsidRPr="00E74967" w:rsidRDefault="001A004E" w:rsidP="00CB41C4">
      <w:pPr>
        <w:tabs>
          <w:tab w:val="left" w:leader="underscore" w:pos="9639"/>
        </w:tabs>
        <w:spacing w:after="0" w:line="240" w:lineRule="auto"/>
        <w:jc w:val="both"/>
        <w:rPr>
          <w:rFonts w:cs="Calibri"/>
        </w:rPr>
      </w:pPr>
    </w:p>
    <w:p w14:paraId="61291BC6"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d) Tipo de cambio:</w:t>
      </w:r>
    </w:p>
    <w:p w14:paraId="146CAEC1" w14:textId="77777777" w:rsidR="007D1E76" w:rsidRDefault="007D1E76" w:rsidP="00CB41C4">
      <w:pPr>
        <w:tabs>
          <w:tab w:val="left" w:leader="underscore" w:pos="9639"/>
        </w:tabs>
        <w:spacing w:after="0" w:line="240" w:lineRule="auto"/>
        <w:jc w:val="both"/>
        <w:rPr>
          <w:rFonts w:cs="Calibri"/>
        </w:rPr>
      </w:pPr>
    </w:p>
    <w:p w14:paraId="5A1679F2" w14:textId="77777777" w:rsidR="001A004E" w:rsidRPr="00E53271" w:rsidRDefault="001A004E" w:rsidP="001A004E">
      <w:pPr>
        <w:spacing w:after="0"/>
        <w:jc w:val="both"/>
        <w:rPr>
          <w:rFonts w:cs="Calibri"/>
        </w:rPr>
      </w:pPr>
      <w:r w:rsidRPr="00E53271">
        <w:rPr>
          <w:rFonts w:eastAsia="Times New Roman" w:cs="Arial"/>
          <w:szCs w:val="16"/>
        </w:rPr>
        <w:t>No se tienen activos en Moneda Extranjera</w:t>
      </w:r>
    </w:p>
    <w:p w14:paraId="09714952" w14:textId="77777777" w:rsidR="001A004E" w:rsidRPr="00E74967" w:rsidRDefault="001A004E" w:rsidP="00CB41C4">
      <w:pPr>
        <w:tabs>
          <w:tab w:val="left" w:leader="underscore" w:pos="9639"/>
        </w:tabs>
        <w:spacing w:after="0" w:line="240" w:lineRule="auto"/>
        <w:jc w:val="both"/>
        <w:rPr>
          <w:rFonts w:cs="Calibri"/>
        </w:rPr>
      </w:pPr>
    </w:p>
    <w:p w14:paraId="2878D6F1"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e) Equivalente en moneda nacional:</w:t>
      </w:r>
    </w:p>
    <w:p w14:paraId="63BA699C" w14:textId="77777777" w:rsidR="007D1E76" w:rsidRDefault="007D1E76" w:rsidP="00CB41C4">
      <w:pPr>
        <w:tabs>
          <w:tab w:val="left" w:leader="underscore" w:pos="9639"/>
        </w:tabs>
        <w:spacing w:after="0" w:line="240" w:lineRule="auto"/>
        <w:jc w:val="both"/>
        <w:rPr>
          <w:rFonts w:cs="Calibri"/>
        </w:rPr>
      </w:pPr>
    </w:p>
    <w:p w14:paraId="4E58206C" w14:textId="77777777" w:rsidR="001A004E" w:rsidRPr="00E53271" w:rsidRDefault="001A004E" w:rsidP="001A004E">
      <w:pPr>
        <w:spacing w:after="0"/>
        <w:jc w:val="both"/>
        <w:rPr>
          <w:rFonts w:cs="Calibri"/>
        </w:rPr>
      </w:pPr>
      <w:r w:rsidRPr="00E53271">
        <w:rPr>
          <w:rFonts w:eastAsia="Times New Roman" w:cs="Arial"/>
          <w:szCs w:val="16"/>
        </w:rPr>
        <w:t>No se tienen activos en Moneda Extranjera</w:t>
      </w:r>
    </w:p>
    <w:p w14:paraId="63E11E66" w14:textId="77777777" w:rsidR="001A004E" w:rsidRPr="00E74967" w:rsidRDefault="001A004E" w:rsidP="00CB41C4">
      <w:pPr>
        <w:tabs>
          <w:tab w:val="left" w:leader="underscore" w:pos="9639"/>
        </w:tabs>
        <w:spacing w:after="0" w:line="240" w:lineRule="auto"/>
        <w:jc w:val="both"/>
        <w:rPr>
          <w:rFonts w:cs="Calibri"/>
        </w:rPr>
      </w:pPr>
    </w:p>
    <w:p w14:paraId="082733B1" w14:textId="77777777" w:rsidR="006A65AB" w:rsidRDefault="006A65AB" w:rsidP="00CB41C4">
      <w:pPr>
        <w:tabs>
          <w:tab w:val="left" w:leader="underscore" w:pos="9639"/>
        </w:tabs>
        <w:spacing w:after="0" w:line="240" w:lineRule="auto"/>
        <w:jc w:val="both"/>
        <w:rPr>
          <w:rFonts w:cs="Calibri"/>
        </w:rPr>
      </w:pPr>
    </w:p>
    <w:p w14:paraId="2D855887" w14:textId="77777777" w:rsidR="006A65AB" w:rsidRDefault="006A65AB" w:rsidP="00CB41C4">
      <w:pPr>
        <w:tabs>
          <w:tab w:val="left" w:leader="underscore" w:pos="9639"/>
        </w:tabs>
        <w:spacing w:after="0" w:line="240" w:lineRule="auto"/>
        <w:jc w:val="both"/>
        <w:rPr>
          <w:rFonts w:cs="Calibri"/>
        </w:rPr>
      </w:pPr>
    </w:p>
    <w:p w14:paraId="01728175" w14:textId="62F6B4DC"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10" w:name="_Toc188953069"/>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10"/>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a) </w:t>
      </w:r>
      <w:r w:rsidR="00ED7AA0" w:rsidRPr="006A65AB">
        <w:rPr>
          <w:rFonts w:cs="Calibri"/>
          <w:b/>
        </w:rPr>
        <w:t>Vida útil, porcentajes de depreciación y amortización utilizados en los diferentes tipos de activos, o el importe de las pérdidas por deterioro reconocidas</w:t>
      </w:r>
      <w:r w:rsidRPr="006A65AB">
        <w:rPr>
          <w:rFonts w:cs="Calibri"/>
          <w:b/>
        </w:rPr>
        <w:t>:</w:t>
      </w:r>
    </w:p>
    <w:p w14:paraId="0A4AD650" w14:textId="77777777" w:rsidR="0016736C" w:rsidRDefault="0016736C" w:rsidP="0016736C">
      <w:pPr>
        <w:spacing w:after="0"/>
        <w:jc w:val="both"/>
        <w:rPr>
          <w:rFonts w:eastAsia="Times New Roman" w:cs="Arial"/>
          <w:szCs w:val="16"/>
        </w:rPr>
      </w:pPr>
    </w:p>
    <w:p w14:paraId="2B914A04" w14:textId="2632EA14" w:rsidR="007D1E76" w:rsidRDefault="0016736C" w:rsidP="0016736C">
      <w:pPr>
        <w:spacing w:after="0"/>
        <w:jc w:val="both"/>
        <w:rPr>
          <w:rFonts w:cs="Calibri"/>
        </w:rPr>
      </w:pPr>
      <w:r w:rsidRPr="00E53271">
        <w:rPr>
          <w:rFonts w:eastAsia="Times New Roman" w:cs="Arial"/>
          <w:szCs w:val="16"/>
        </w:rPr>
        <w:t>Esta nota se presenta en el reporte "Nota del Analítico de Activo"</w:t>
      </w:r>
    </w:p>
    <w:p w14:paraId="7C1AAB84" w14:textId="77777777" w:rsidR="0016736C" w:rsidRPr="00E74967" w:rsidRDefault="0016736C" w:rsidP="00CB41C4">
      <w:pPr>
        <w:tabs>
          <w:tab w:val="left" w:leader="underscore" w:pos="9639"/>
        </w:tabs>
        <w:spacing w:after="0" w:line="240" w:lineRule="auto"/>
        <w:jc w:val="both"/>
        <w:rPr>
          <w:rFonts w:cs="Calibri"/>
        </w:rPr>
      </w:pPr>
    </w:p>
    <w:p w14:paraId="7FD13FA2" w14:textId="4685F103"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b) </w:t>
      </w:r>
      <w:r w:rsidR="00AA2768" w:rsidRPr="006A65AB">
        <w:rPr>
          <w:rFonts w:cs="Calibri"/>
          <w:b/>
        </w:rPr>
        <w:t>Cambios en el porcentaje de depreciación y amortización y en el valor de los activos ocasionado por deterioro</w:t>
      </w:r>
      <w:r w:rsidRPr="006A65AB">
        <w:rPr>
          <w:rFonts w:cs="Calibri"/>
          <w:b/>
        </w:rPr>
        <w:t>:</w:t>
      </w:r>
    </w:p>
    <w:p w14:paraId="1983354C" w14:textId="26C7412A" w:rsidR="007D1E76" w:rsidRDefault="007D1E76" w:rsidP="00CB41C4">
      <w:pPr>
        <w:tabs>
          <w:tab w:val="left" w:leader="underscore" w:pos="9639"/>
        </w:tabs>
        <w:spacing w:after="0" w:line="240" w:lineRule="auto"/>
        <w:jc w:val="both"/>
        <w:rPr>
          <w:rFonts w:cs="Calibri"/>
        </w:rPr>
      </w:pPr>
    </w:p>
    <w:p w14:paraId="451BB715" w14:textId="534B7DC4" w:rsidR="0016736C" w:rsidRPr="00E74967" w:rsidRDefault="0016736C" w:rsidP="00CB41C4">
      <w:pPr>
        <w:tabs>
          <w:tab w:val="left" w:leader="underscore" w:pos="9639"/>
        </w:tabs>
        <w:spacing w:after="0" w:line="240" w:lineRule="auto"/>
        <w:jc w:val="both"/>
        <w:rPr>
          <w:rFonts w:cs="Calibri"/>
        </w:rPr>
      </w:pPr>
      <w:r w:rsidRPr="00E53271">
        <w:rPr>
          <w:rFonts w:eastAsia="Times New Roman" w:cs="Arial"/>
          <w:szCs w:val="16"/>
        </w:rPr>
        <w:t>Esta nota se presenta en el reporte "Nota del Analítico de Activo"</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c) Importe de los gastos capitalizados en el ejercicio, tanto financieros como de investigación y desarrollo:</w:t>
      </w:r>
    </w:p>
    <w:p w14:paraId="389FC7C1" w14:textId="77777777" w:rsidR="007D1E76" w:rsidRDefault="007D1E76" w:rsidP="00CB41C4">
      <w:pPr>
        <w:tabs>
          <w:tab w:val="left" w:leader="underscore" w:pos="9639"/>
        </w:tabs>
        <w:spacing w:after="0" w:line="240" w:lineRule="auto"/>
        <w:jc w:val="both"/>
        <w:rPr>
          <w:rFonts w:cs="Calibri"/>
        </w:rPr>
      </w:pPr>
    </w:p>
    <w:p w14:paraId="6C413D16" w14:textId="596D52B4" w:rsidR="000F0656" w:rsidRPr="00E53271" w:rsidRDefault="000F0656" w:rsidP="000F0656">
      <w:pPr>
        <w:spacing w:after="0"/>
        <w:jc w:val="both"/>
        <w:rPr>
          <w:rFonts w:cs="Calibri"/>
          <w:b/>
        </w:rPr>
      </w:pPr>
      <w:r>
        <w:rPr>
          <w:rFonts w:eastAsia="Times New Roman" w:cs="Arial"/>
          <w:szCs w:val="16"/>
        </w:rPr>
        <w:t xml:space="preserve">En este ejercicio no se han capitalizado gastos </w:t>
      </w:r>
      <w:r>
        <w:rPr>
          <w:rFonts w:cs="Calibri"/>
        </w:rPr>
        <w:t>financieros</w:t>
      </w:r>
      <w:r w:rsidRPr="00E74967">
        <w:rPr>
          <w:rFonts w:cs="Calibri"/>
        </w:rPr>
        <w:t xml:space="preserve"> de investigación y desarrollo</w:t>
      </w:r>
      <w:r>
        <w:rPr>
          <w:rFonts w:eastAsia="Times New Roman" w:cs="Arial"/>
          <w:szCs w:val="16"/>
        </w:rPr>
        <w:t>.</w:t>
      </w:r>
    </w:p>
    <w:p w14:paraId="27471018" w14:textId="77777777" w:rsidR="000F0656" w:rsidRPr="00E74967" w:rsidRDefault="000F0656" w:rsidP="00CB41C4">
      <w:pPr>
        <w:tabs>
          <w:tab w:val="left" w:leader="underscore" w:pos="9639"/>
        </w:tabs>
        <w:spacing w:after="0" w:line="240" w:lineRule="auto"/>
        <w:jc w:val="both"/>
        <w:rPr>
          <w:rFonts w:cs="Calibri"/>
        </w:rPr>
      </w:pPr>
    </w:p>
    <w:p w14:paraId="64BF173F"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d) Rie</w:t>
      </w:r>
      <w:r w:rsidR="001973A2" w:rsidRPr="006A65AB">
        <w:rPr>
          <w:rFonts w:cs="Calibri"/>
          <w:b/>
        </w:rPr>
        <w:t>s</w:t>
      </w:r>
      <w:r w:rsidRPr="006A65AB">
        <w:rPr>
          <w:rFonts w:cs="Calibri"/>
          <w:b/>
        </w:rPr>
        <w:t>gos por tipo de cambio o tipo de interés de las inversiones financieras:</w:t>
      </w:r>
    </w:p>
    <w:p w14:paraId="6C7DF781" w14:textId="77777777" w:rsidR="000F0656" w:rsidRDefault="000F0656" w:rsidP="000F0656">
      <w:pPr>
        <w:spacing w:after="0"/>
        <w:jc w:val="both"/>
        <w:rPr>
          <w:rFonts w:eastAsia="Times New Roman" w:cs="Arial"/>
          <w:szCs w:val="16"/>
        </w:rPr>
      </w:pPr>
    </w:p>
    <w:p w14:paraId="77EA2442" w14:textId="77777777" w:rsidR="000F0656" w:rsidRPr="00E53271" w:rsidRDefault="000F0656" w:rsidP="000F0656">
      <w:pPr>
        <w:spacing w:after="0"/>
        <w:jc w:val="both"/>
        <w:rPr>
          <w:rFonts w:cs="Calibri"/>
        </w:rPr>
      </w:pPr>
      <w:r w:rsidRPr="00E53271">
        <w:rPr>
          <w:rFonts w:eastAsia="Times New Roman" w:cs="Arial"/>
          <w:szCs w:val="16"/>
        </w:rPr>
        <w:t xml:space="preserve">No se tienen riesgos por tipo de cambio o tipo de interés en las inversiones del municipio. </w:t>
      </w:r>
    </w:p>
    <w:p w14:paraId="378CEFB3" w14:textId="77777777" w:rsidR="000F0656" w:rsidRDefault="000F0656" w:rsidP="00CB41C4">
      <w:pPr>
        <w:tabs>
          <w:tab w:val="left" w:leader="underscore" w:pos="9639"/>
        </w:tabs>
        <w:spacing w:after="0" w:line="240" w:lineRule="auto"/>
        <w:jc w:val="both"/>
        <w:rPr>
          <w:rFonts w:cs="Calibri"/>
          <w:b/>
        </w:rPr>
      </w:pPr>
    </w:p>
    <w:p w14:paraId="114D8167"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e) Valor activado en el ejercicio de los bienes construidos por la entidad:</w:t>
      </w:r>
    </w:p>
    <w:p w14:paraId="2E17CB0A" w14:textId="77777777" w:rsidR="007D1E76" w:rsidRDefault="007D1E76" w:rsidP="00CB41C4">
      <w:pPr>
        <w:tabs>
          <w:tab w:val="left" w:leader="underscore" w:pos="9639"/>
        </w:tabs>
        <w:spacing w:after="0" w:line="240" w:lineRule="auto"/>
        <w:jc w:val="both"/>
        <w:rPr>
          <w:rFonts w:cs="Calibri"/>
          <w:b/>
        </w:rPr>
      </w:pPr>
    </w:p>
    <w:p w14:paraId="07FDE63B" w14:textId="77777777" w:rsidR="000F0656" w:rsidRPr="00E53271" w:rsidRDefault="000F0656" w:rsidP="000F0656">
      <w:pPr>
        <w:spacing w:after="0"/>
        <w:jc w:val="both"/>
        <w:rPr>
          <w:rFonts w:cs="Calibri"/>
          <w:b/>
        </w:rPr>
      </w:pPr>
      <w:r w:rsidRPr="00E53271">
        <w:rPr>
          <w:rFonts w:eastAsia="Times New Roman" w:cs="Arial"/>
          <w:szCs w:val="16"/>
        </w:rPr>
        <w:t>Esta nota no le aplica al municipio.</w:t>
      </w:r>
    </w:p>
    <w:p w14:paraId="5351E653" w14:textId="77777777" w:rsidR="000F0656" w:rsidRPr="00E74967" w:rsidRDefault="000F0656" w:rsidP="00CB41C4">
      <w:pPr>
        <w:tabs>
          <w:tab w:val="left" w:leader="underscore" w:pos="9639"/>
        </w:tabs>
        <w:spacing w:after="0" w:line="240" w:lineRule="auto"/>
        <w:jc w:val="both"/>
        <w:rPr>
          <w:rFonts w:cs="Calibri"/>
          <w:b/>
        </w:rPr>
      </w:pPr>
    </w:p>
    <w:p w14:paraId="61D4FD0C"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f)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Default="007D1E76" w:rsidP="00CB41C4">
      <w:pPr>
        <w:tabs>
          <w:tab w:val="left" w:leader="underscore" w:pos="9639"/>
        </w:tabs>
        <w:spacing w:after="0" w:line="240" w:lineRule="auto"/>
        <w:jc w:val="both"/>
        <w:rPr>
          <w:rFonts w:cs="Calibri"/>
        </w:rPr>
      </w:pPr>
    </w:p>
    <w:p w14:paraId="2FDE6A17" w14:textId="77777777" w:rsidR="000F0656" w:rsidRPr="00E53271" w:rsidRDefault="000F0656" w:rsidP="000F0656">
      <w:pPr>
        <w:spacing w:after="0"/>
        <w:jc w:val="both"/>
        <w:rPr>
          <w:rFonts w:cs="Calibri"/>
        </w:rPr>
      </w:pPr>
      <w:r w:rsidRPr="00E53271">
        <w:rPr>
          <w:rFonts w:eastAsia="Times New Roman" w:cs="Arial"/>
          <w:szCs w:val="16"/>
        </w:rPr>
        <w:lastRenderedPageBreak/>
        <w:t>No se cuenta con otras circunstancias que afecten el activo del municipio.</w:t>
      </w:r>
    </w:p>
    <w:p w14:paraId="795E4087" w14:textId="77777777" w:rsidR="000F0656" w:rsidRPr="00E74967" w:rsidRDefault="000F0656" w:rsidP="00CB41C4">
      <w:pPr>
        <w:tabs>
          <w:tab w:val="left" w:leader="underscore" w:pos="9639"/>
        </w:tabs>
        <w:spacing w:after="0" w:line="240" w:lineRule="auto"/>
        <w:jc w:val="both"/>
        <w:rPr>
          <w:rFonts w:cs="Calibri"/>
        </w:rPr>
      </w:pPr>
    </w:p>
    <w:p w14:paraId="20E72A8C" w14:textId="77777777" w:rsidR="006A65AB" w:rsidRDefault="006A65AB" w:rsidP="00CB41C4">
      <w:pPr>
        <w:tabs>
          <w:tab w:val="left" w:leader="underscore" w:pos="9639"/>
        </w:tabs>
        <w:spacing w:after="0" w:line="240" w:lineRule="auto"/>
        <w:jc w:val="both"/>
        <w:rPr>
          <w:rFonts w:cs="Calibri"/>
          <w:b/>
        </w:rPr>
      </w:pPr>
    </w:p>
    <w:p w14:paraId="5B1593C0" w14:textId="23377098" w:rsidR="007D1E76" w:rsidRPr="006A65AB" w:rsidRDefault="007D1E76" w:rsidP="00CB41C4">
      <w:pPr>
        <w:tabs>
          <w:tab w:val="left" w:leader="underscore" w:pos="9639"/>
        </w:tabs>
        <w:spacing w:after="0" w:line="240" w:lineRule="auto"/>
        <w:jc w:val="both"/>
        <w:rPr>
          <w:rFonts w:cs="Calibri"/>
          <w:b/>
        </w:rPr>
      </w:pPr>
      <w:r w:rsidRPr="006A65AB">
        <w:rPr>
          <w:rFonts w:cs="Calibri"/>
          <w:b/>
        </w:rPr>
        <w:t>g) Desmantelamiento de Activos, procedimientos, implicaciones, efectos contables:</w:t>
      </w:r>
    </w:p>
    <w:p w14:paraId="40A5560A" w14:textId="77777777" w:rsidR="000F0656" w:rsidRDefault="000F0656" w:rsidP="000F0656">
      <w:pPr>
        <w:spacing w:after="0"/>
        <w:jc w:val="both"/>
        <w:rPr>
          <w:rFonts w:eastAsia="Times New Roman" w:cs="Arial"/>
          <w:szCs w:val="16"/>
        </w:rPr>
      </w:pPr>
    </w:p>
    <w:p w14:paraId="0804F12F" w14:textId="77777777" w:rsidR="000F0656" w:rsidRPr="00E53271" w:rsidRDefault="000F0656" w:rsidP="000F0656">
      <w:pPr>
        <w:spacing w:after="0"/>
        <w:jc w:val="both"/>
        <w:rPr>
          <w:rFonts w:cs="Calibri"/>
        </w:rPr>
      </w:pPr>
      <w:r w:rsidRPr="00E53271">
        <w:rPr>
          <w:rFonts w:eastAsia="Times New Roman" w:cs="Arial"/>
          <w:szCs w:val="16"/>
        </w:rPr>
        <w:t>En el periodo no se desmantelaron activos, con implicaciones o efectos contables propiedad del municipio.</w:t>
      </w:r>
    </w:p>
    <w:p w14:paraId="368ADB1E" w14:textId="77777777" w:rsidR="000F0656" w:rsidRDefault="000F0656" w:rsidP="00CB41C4">
      <w:pPr>
        <w:tabs>
          <w:tab w:val="left" w:leader="underscore" w:pos="9639"/>
        </w:tabs>
        <w:spacing w:after="0" w:line="240" w:lineRule="auto"/>
        <w:jc w:val="both"/>
        <w:rPr>
          <w:rFonts w:cs="Calibri"/>
          <w:b/>
        </w:rPr>
      </w:pPr>
    </w:p>
    <w:p w14:paraId="6543D74F"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h) Administración de activos; planeación con el objetivo de que el ente los utilice de manera más efectiva:</w:t>
      </w:r>
    </w:p>
    <w:p w14:paraId="78C27F78" w14:textId="77777777" w:rsidR="000F0656" w:rsidRDefault="000F0656" w:rsidP="000F0656">
      <w:pPr>
        <w:spacing w:after="0"/>
        <w:jc w:val="both"/>
        <w:rPr>
          <w:rFonts w:eastAsia="Times New Roman" w:cs="Arial"/>
          <w:szCs w:val="16"/>
        </w:rPr>
      </w:pPr>
    </w:p>
    <w:p w14:paraId="6B60B9BD" w14:textId="77777777" w:rsidR="000F0656" w:rsidRPr="00100D56" w:rsidRDefault="000F0656" w:rsidP="000F0656">
      <w:pPr>
        <w:spacing w:after="0"/>
        <w:jc w:val="both"/>
        <w:rPr>
          <w:rFonts w:eastAsia="Times New Roman" w:cs="Arial"/>
          <w:szCs w:val="16"/>
        </w:rPr>
      </w:pPr>
      <w:r w:rsidRPr="00894D6C">
        <w:rPr>
          <w:rFonts w:eastAsia="Times New Roman" w:cs="Arial"/>
          <w:szCs w:val="16"/>
        </w:rPr>
        <w:t>La Coordinación de Control Patrimonial, emite los resguardos correspondientes, realiza un inventario físico de los bienes muebles propiedad del municipio una vez al año.</w:t>
      </w:r>
    </w:p>
    <w:p w14:paraId="76A7ECE1" w14:textId="0E18E047" w:rsidR="007D1E76" w:rsidRPr="00E74967" w:rsidRDefault="007D1E76"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a) Inversiones en valores:</w:t>
      </w:r>
    </w:p>
    <w:p w14:paraId="002BBDF9" w14:textId="77777777" w:rsidR="000F0656" w:rsidRDefault="000F0656" w:rsidP="000F0656">
      <w:pPr>
        <w:spacing w:after="0"/>
        <w:jc w:val="both"/>
        <w:rPr>
          <w:rFonts w:eastAsia="Times New Roman" w:cs="Arial"/>
          <w:szCs w:val="16"/>
        </w:rPr>
      </w:pPr>
    </w:p>
    <w:p w14:paraId="34F6EE96" w14:textId="77777777" w:rsidR="000F0656" w:rsidRPr="00894D6C" w:rsidRDefault="000F0656" w:rsidP="000F0656">
      <w:pPr>
        <w:spacing w:after="0"/>
        <w:jc w:val="both"/>
        <w:rPr>
          <w:rFonts w:cs="Calibri"/>
        </w:rPr>
      </w:pPr>
      <w:r w:rsidRPr="00894D6C">
        <w:rPr>
          <w:rFonts w:eastAsia="Times New Roman" w:cs="Arial"/>
          <w:szCs w:val="16"/>
        </w:rPr>
        <w:t xml:space="preserve">No se tienen inversiones en valores. </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b) Patrimonio de Organismos </w:t>
      </w:r>
      <w:r w:rsidR="00B073DE" w:rsidRPr="006A65AB">
        <w:rPr>
          <w:rFonts w:cs="Calibri"/>
          <w:b/>
        </w:rPr>
        <w:t>D</w:t>
      </w:r>
      <w:r w:rsidRPr="006A65AB">
        <w:rPr>
          <w:rFonts w:cs="Calibri"/>
          <w:b/>
        </w:rPr>
        <w:t>escentralizados de Control Presupuestario Indirecto:</w:t>
      </w:r>
    </w:p>
    <w:p w14:paraId="2CF9F431" w14:textId="77777777" w:rsidR="000F0656" w:rsidRDefault="000F0656" w:rsidP="000F0656">
      <w:pPr>
        <w:spacing w:after="0"/>
        <w:jc w:val="both"/>
        <w:rPr>
          <w:rFonts w:eastAsia="Times New Roman" w:cs="Arial"/>
          <w:szCs w:val="16"/>
        </w:rPr>
      </w:pPr>
    </w:p>
    <w:p w14:paraId="579FEAA7" w14:textId="77777777" w:rsidR="000F0656" w:rsidRPr="00894D6C" w:rsidRDefault="000F0656" w:rsidP="000F0656">
      <w:pPr>
        <w:spacing w:after="0"/>
        <w:jc w:val="both"/>
        <w:rPr>
          <w:rFonts w:cs="Calibri"/>
        </w:rPr>
      </w:pPr>
      <w:r w:rsidRPr="00894D6C">
        <w:rPr>
          <w:rFonts w:eastAsia="Times New Roman" w:cs="Arial"/>
          <w:szCs w:val="16"/>
        </w:rPr>
        <w:t>No se tiene el control presupuestario directo de patrimonio de organismos descentralizados.</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c) Inversiones en empresas de participación mayoritaria:</w:t>
      </w:r>
    </w:p>
    <w:p w14:paraId="438427FE" w14:textId="77777777" w:rsidR="000F0656" w:rsidRDefault="000F0656" w:rsidP="000F0656">
      <w:pPr>
        <w:spacing w:after="0"/>
        <w:jc w:val="both"/>
        <w:rPr>
          <w:rFonts w:eastAsia="Times New Roman" w:cs="Arial"/>
          <w:szCs w:val="16"/>
        </w:rPr>
      </w:pPr>
    </w:p>
    <w:p w14:paraId="5428FD24" w14:textId="77777777" w:rsidR="000F0656" w:rsidRPr="00894D6C" w:rsidRDefault="000F0656" w:rsidP="000F0656">
      <w:pPr>
        <w:spacing w:after="0"/>
        <w:jc w:val="both"/>
        <w:rPr>
          <w:rFonts w:cs="Calibri"/>
        </w:rPr>
      </w:pPr>
      <w:r w:rsidRPr="00894D6C">
        <w:rPr>
          <w:rFonts w:eastAsia="Times New Roman" w:cs="Arial"/>
          <w:szCs w:val="16"/>
        </w:rPr>
        <w:t>No se tienen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d) Inversiones en empresas de participación minoritaria:</w:t>
      </w:r>
    </w:p>
    <w:p w14:paraId="54EEEB64" w14:textId="77777777" w:rsidR="000F0656" w:rsidRDefault="000F0656" w:rsidP="000F0656">
      <w:pPr>
        <w:spacing w:after="0"/>
        <w:jc w:val="both"/>
        <w:rPr>
          <w:rFonts w:eastAsia="Times New Roman" w:cs="Arial"/>
          <w:szCs w:val="16"/>
        </w:rPr>
      </w:pPr>
    </w:p>
    <w:p w14:paraId="37ABCD47" w14:textId="77777777" w:rsidR="000F0656" w:rsidRPr="00894D6C" w:rsidRDefault="000F0656" w:rsidP="000F0656">
      <w:pPr>
        <w:spacing w:after="0"/>
        <w:jc w:val="both"/>
        <w:rPr>
          <w:rFonts w:cs="Calibri"/>
        </w:rPr>
      </w:pPr>
      <w:r w:rsidRPr="00894D6C">
        <w:rPr>
          <w:rFonts w:eastAsia="Times New Roman" w:cs="Arial"/>
          <w:szCs w:val="16"/>
        </w:rPr>
        <w:t>No se tienen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6A65AB" w:rsidRDefault="007D1E76" w:rsidP="00CB41C4">
      <w:pPr>
        <w:tabs>
          <w:tab w:val="left" w:leader="underscore" w:pos="9639"/>
        </w:tabs>
        <w:spacing w:after="0" w:line="240" w:lineRule="auto"/>
        <w:jc w:val="both"/>
        <w:rPr>
          <w:rFonts w:cs="Calibri"/>
          <w:b/>
        </w:rPr>
      </w:pPr>
      <w:r w:rsidRPr="006A65AB">
        <w:rPr>
          <w:rFonts w:cs="Calibri"/>
          <w:b/>
        </w:rPr>
        <w:t xml:space="preserve">e) Patrimonio de </w:t>
      </w:r>
      <w:r w:rsidR="006B1ADF" w:rsidRPr="006A65AB">
        <w:rPr>
          <w:rFonts w:cs="Calibri"/>
          <w:b/>
        </w:rPr>
        <w:t>O</w:t>
      </w:r>
      <w:r w:rsidRPr="006A65AB">
        <w:rPr>
          <w:rFonts w:cs="Calibri"/>
          <w:b/>
        </w:rPr>
        <w:t xml:space="preserve">rganismos </w:t>
      </w:r>
      <w:r w:rsidR="006B1ADF" w:rsidRPr="006A65AB">
        <w:rPr>
          <w:rFonts w:cs="Calibri"/>
          <w:b/>
        </w:rPr>
        <w:t>D</w:t>
      </w:r>
      <w:r w:rsidRPr="006A65AB">
        <w:rPr>
          <w:rFonts w:cs="Calibri"/>
          <w:b/>
        </w:rPr>
        <w:t xml:space="preserve">escentralizados de control </w:t>
      </w:r>
      <w:r w:rsidR="006B1ADF" w:rsidRPr="006A65AB">
        <w:rPr>
          <w:rFonts w:cs="Calibri"/>
          <w:b/>
        </w:rPr>
        <w:t>P</w:t>
      </w:r>
      <w:r w:rsidRPr="006A65AB">
        <w:rPr>
          <w:rFonts w:cs="Calibri"/>
          <w:b/>
        </w:rPr>
        <w:t xml:space="preserve">resupuestario </w:t>
      </w:r>
      <w:r w:rsidR="006B1ADF" w:rsidRPr="006A65AB">
        <w:rPr>
          <w:rFonts w:cs="Calibri"/>
          <w:b/>
        </w:rPr>
        <w:t>D</w:t>
      </w:r>
      <w:r w:rsidRPr="006A65AB">
        <w:rPr>
          <w:rFonts w:cs="Calibri"/>
          <w:b/>
        </w:rPr>
        <w:t>irecto, según corresponda:</w:t>
      </w:r>
    </w:p>
    <w:p w14:paraId="0FAB857B" w14:textId="77777777" w:rsidR="000F0656" w:rsidRDefault="000F0656" w:rsidP="000F0656">
      <w:pPr>
        <w:spacing w:after="0"/>
        <w:jc w:val="both"/>
        <w:rPr>
          <w:rFonts w:eastAsia="Times New Roman" w:cs="Arial"/>
          <w:szCs w:val="16"/>
        </w:rPr>
      </w:pPr>
    </w:p>
    <w:p w14:paraId="20559E6D" w14:textId="77777777" w:rsidR="000F0656" w:rsidRPr="00894D6C" w:rsidRDefault="000F0656" w:rsidP="000F0656">
      <w:pPr>
        <w:spacing w:after="0"/>
        <w:jc w:val="both"/>
        <w:rPr>
          <w:rFonts w:cs="Calibri"/>
        </w:rPr>
      </w:pPr>
      <w:r w:rsidRPr="00894D6C">
        <w:rPr>
          <w:rFonts w:eastAsia="Times New Roman" w:cs="Arial"/>
          <w:szCs w:val="16"/>
        </w:rPr>
        <w:t>No se tiene el control presupuestario directo de patrimonio de organismos descentralizados.</w:t>
      </w:r>
    </w:p>
    <w:p w14:paraId="56C3B8CD" w14:textId="77777777" w:rsidR="007D1E76" w:rsidRDefault="007D1E76" w:rsidP="00CB41C4">
      <w:pPr>
        <w:tabs>
          <w:tab w:val="left" w:leader="underscore" w:pos="9639"/>
        </w:tabs>
        <w:spacing w:after="0" w:line="240" w:lineRule="auto"/>
        <w:jc w:val="both"/>
        <w:rPr>
          <w:rFonts w:cs="Calibri"/>
        </w:rPr>
      </w:pPr>
    </w:p>
    <w:p w14:paraId="646DCD66" w14:textId="77777777" w:rsidR="00E16610" w:rsidRPr="00E74967" w:rsidRDefault="00E16610" w:rsidP="00CB41C4">
      <w:pPr>
        <w:tabs>
          <w:tab w:val="left" w:leader="underscore" w:pos="9639"/>
        </w:tabs>
        <w:spacing w:after="0" w:line="240" w:lineRule="auto"/>
        <w:jc w:val="both"/>
        <w:rPr>
          <w:rFonts w:cs="Calibri"/>
        </w:rPr>
      </w:pPr>
    </w:p>
    <w:p w14:paraId="4E1BA8DA" w14:textId="77777777" w:rsidR="006A65AB" w:rsidRDefault="006A65AB" w:rsidP="000C3365">
      <w:pPr>
        <w:pStyle w:val="Ttulo2"/>
        <w:rPr>
          <w:rFonts w:asciiTheme="minorHAnsi" w:hAnsiTheme="minorHAnsi" w:cstheme="minorHAnsi"/>
          <w:b/>
          <w:color w:val="auto"/>
          <w:sz w:val="22"/>
        </w:rPr>
      </w:pPr>
    </w:p>
    <w:p w14:paraId="513A1948" w14:textId="77777777" w:rsidR="006A65AB" w:rsidRDefault="006A65AB" w:rsidP="000C3365">
      <w:pPr>
        <w:pStyle w:val="Ttulo2"/>
        <w:rPr>
          <w:rFonts w:asciiTheme="minorHAnsi" w:hAnsiTheme="minorHAnsi" w:cstheme="minorHAnsi"/>
          <w:b/>
          <w:color w:val="auto"/>
          <w:sz w:val="22"/>
        </w:rPr>
      </w:pPr>
    </w:p>
    <w:p w14:paraId="2D957F4B" w14:textId="162980AD" w:rsidR="007D1E76" w:rsidRPr="000C3365" w:rsidRDefault="002722DD" w:rsidP="000C3365">
      <w:pPr>
        <w:pStyle w:val="Ttulo2"/>
        <w:rPr>
          <w:rFonts w:asciiTheme="minorHAnsi" w:hAnsiTheme="minorHAnsi" w:cstheme="minorHAnsi"/>
          <w:b/>
          <w:color w:val="auto"/>
          <w:sz w:val="22"/>
        </w:rPr>
      </w:pPr>
      <w:bookmarkStart w:id="11" w:name="_Toc188953070"/>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11"/>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a) Por ramo administrativo que los reporta:</w:t>
      </w:r>
    </w:p>
    <w:p w14:paraId="7D5069C6" w14:textId="77777777" w:rsidR="000F0656" w:rsidRDefault="000F0656" w:rsidP="000F0656">
      <w:pPr>
        <w:spacing w:after="0"/>
        <w:jc w:val="both"/>
        <w:rPr>
          <w:rFonts w:eastAsia="Times New Roman" w:cs="Arial"/>
          <w:szCs w:val="16"/>
        </w:rPr>
      </w:pPr>
    </w:p>
    <w:p w14:paraId="4093B340" w14:textId="77777777" w:rsidR="000F0656" w:rsidRPr="00894D6C" w:rsidRDefault="000F0656" w:rsidP="000F0656">
      <w:pPr>
        <w:spacing w:after="0"/>
        <w:jc w:val="both"/>
        <w:rPr>
          <w:rFonts w:cs="Calibri"/>
        </w:rPr>
      </w:pPr>
      <w:r w:rsidRPr="00894D6C">
        <w:rPr>
          <w:rFonts w:eastAsia="Times New Roman" w:cs="Arial"/>
          <w:szCs w:val="16"/>
        </w:rPr>
        <w:t>Al periodo no se tienen Fideicomisos, mandatos y otros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b) Enlistar los de mayor monto de disponibilidad, relacionando aquéllos que conforman el 80% de las disponibilidades:</w:t>
      </w:r>
    </w:p>
    <w:p w14:paraId="3F999531" w14:textId="77777777" w:rsidR="000F0656" w:rsidRDefault="000F0656" w:rsidP="000F0656">
      <w:pPr>
        <w:spacing w:after="0"/>
        <w:jc w:val="both"/>
        <w:rPr>
          <w:rFonts w:eastAsia="Times New Roman" w:cs="Arial"/>
          <w:szCs w:val="16"/>
        </w:rPr>
      </w:pPr>
    </w:p>
    <w:p w14:paraId="684BD0E3" w14:textId="77777777" w:rsidR="000F0656" w:rsidRDefault="000F0656" w:rsidP="000F0656">
      <w:pPr>
        <w:spacing w:after="0"/>
        <w:jc w:val="both"/>
        <w:rPr>
          <w:rFonts w:eastAsia="Times New Roman" w:cs="Arial"/>
          <w:szCs w:val="16"/>
        </w:rPr>
      </w:pPr>
      <w:r w:rsidRPr="00894D6C">
        <w:rPr>
          <w:rFonts w:eastAsia="Times New Roman" w:cs="Arial"/>
          <w:szCs w:val="16"/>
        </w:rPr>
        <w:t>Al periodo no se tienen Fideicomisos, mandatos y otros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12" w:name="_Toc188953071"/>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12"/>
    </w:p>
    <w:p w14:paraId="2B90D2EC" w14:textId="77777777" w:rsidR="007D1E76" w:rsidRPr="00E74967" w:rsidRDefault="007D1E76" w:rsidP="00CB41C4">
      <w:pPr>
        <w:tabs>
          <w:tab w:val="left" w:leader="underscore" w:pos="9639"/>
        </w:tabs>
        <w:spacing w:after="0" w:line="240" w:lineRule="auto"/>
        <w:jc w:val="both"/>
        <w:rPr>
          <w:rFonts w:cs="Calibri"/>
        </w:rPr>
      </w:pPr>
    </w:p>
    <w:p w14:paraId="3F6257DB" w14:textId="00518F1A" w:rsidR="001E1EDE" w:rsidRPr="00BB7FDF" w:rsidRDefault="007D1E76" w:rsidP="00BB7FDF">
      <w:pPr>
        <w:pStyle w:val="Prrafodelista"/>
        <w:numPr>
          <w:ilvl w:val="0"/>
          <w:numId w:val="2"/>
        </w:numPr>
        <w:tabs>
          <w:tab w:val="left" w:leader="underscore" w:pos="9639"/>
        </w:tabs>
        <w:spacing w:after="0" w:line="240" w:lineRule="auto"/>
        <w:jc w:val="both"/>
        <w:rPr>
          <w:rFonts w:cs="Calibri"/>
        </w:rPr>
      </w:pPr>
      <w:r w:rsidRPr="00726802">
        <w:rPr>
          <w:rFonts w:cs="Calibri"/>
        </w:rPr>
        <w:t>Análisis del comportamiento de la recaudación correspondiente al ente público o cualquier tipo de ingreso, de forma separada los ingresos locales de los federales:</w:t>
      </w:r>
    </w:p>
    <w:p w14:paraId="3AD14C05" w14:textId="77777777" w:rsidR="001E1EDE" w:rsidRPr="00726802" w:rsidRDefault="001E1EDE" w:rsidP="001E1EDE">
      <w:pPr>
        <w:pStyle w:val="Prrafodelista"/>
        <w:tabs>
          <w:tab w:val="left" w:leader="underscore" w:pos="9639"/>
        </w:tabs>
        <w:spacing w:after="0" w:line="240" w:lineRule="auto"/>
        <w:jc w:val="both"/>
        <w:rPr>
          <w:rFonts w:cs="Calibri"/>
        </w:rPr>
      </w:pPr>
    </w:p>
    <w:tbl>
      <w:tblPr>
        <w:tblW w:w="5740" w:type="dxa"/>
        <w:jc w:val="center"/>
        <w:tblCellMar>
          <w:left w:w="70" w:type="dxa"/>
          <w:right w:w="70" w:type="dxa"/>
        </w:tblCellMar>
        <w:tblLook w:val="04A0" w:firstRow="1" w:lastRow="0" w:firstColumn="1" w:lastColumn="0" w:noHBand="0" w:noVBand="1"/>
      </w:tblPr>
      <w:tblGrid>
        <w:gridCol w:w="3180"/>
        <w:gridCol w:w="2560"/>
      </w:tblGrid>
      <w:tr w:rsidR="00025CCE" w:rsidRPr="00025CCE" w14:paraId="5F722C6A" w14:textId="77777777" w:rsidTr="00025CCE">
        <w:trPr>
          <w:trHeight w:val="465"/>
          <w:jc w:val="center"/>
        </w:trPr>
        <w:tc>
          <w:tcPr>
            <w:tcW w:w="5740" w:type="dxa"/>
            <w:gridSpan w:val="2"/>
            <w:tcBorders>
              <w:top w:val="single" w:sz="4" w:space="0" w:color="auto"/>
              <w:left w:val="single" w:sz="4" w:space="0" w:color="auto"/>
              <w:bottom w:val="single" w:sz="4" w:space="0" w:color="auto"/>
              <w:right w:val="single" w:sz="4" w:space="0" w:color="auto"/>
            </w:tcBorders>
            <w:shd w:val="clear" w:color="000000" w:fill="3A7B98"/>
            <w:vAlign w:val="center"/>
            <w:hideMark/>
          </w:tcPr>
          <w:p w14:paraId="6B13535E" w14:textId="77777777" w:rsidR="00025CCE" w:rsidRPr="00025CCE" w:rsidRDefault="00025CCE" w:rsidP="00025CCE">
            <w:pPr>
              <w:spacing w:after="0" w:line="240" w:lineRule="auto"/>
              <w:jc w:val="center"/>
              <w:rPr>
                <w:rFonts w:ascii="Arial" w:eastAsia="Times New Roman" w:hAnsi="Arial" w:cs="Arial"/>
                <w:b/>
                <w:bCs/>
                <w:color w:val="FFFFFF"/>
                <w:sz w:val="16"/>
                <w:szCs w:val="16"/>
                <w:lang w:eastAsia="es-MX"/>
              </w:rPr>
            </w:pPr>
            <w:r w:rsidRPr="00025CCE">
              <w:rPr>
                <w:rFonts w:ascii="Arial" w:eastAsia="Times New Roman" w:hAnsi="Arial" w:cs="Arial"/>
                <w:b/>
                <w:bCs/>
                <w:color w:val="FFFFFF"/>
                <w:sz w:val="16"/>
                <w:szCs w:val="16"/>
                <w:lang w:eastAsia="es-MX"/>
              </w:rPr>
              <w:t>REPORTE DE RECAUDACIÓN</w:t>
            </w:r>
          </w:p>
        </w:tc>
      </w:tr>
      <w:tr w:rsidR="00025CCE" w:rsidRPr="00025CCE" w14:paraId="416C5A6C" w14:textId="77777777" w:rsidTr="00025CCE">
        <w:trPr>
          <w:trHeight w:val="315"/>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3A1ED4AC"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IMPUESTOS</w:t>
            </w:r>
          </w:p>
        </w:tc>
        <w:tc>
          <w:tcPr>
            <w:tcW w:w="2560" w:type="dxa"/>
            <w:tcBorders>
              <w:top w:val="nil"/>
              <w:left w:val="nil"/>
              <w:bottom w:val="single" w:sz="4" w:space="0" w:color="auto"/>
              <w:right w:val="single" w:sz="4" w:space="0" w:color="auto"/>
            </w:tcBorders>
            <w:shd w:val="clear" w:color="auto" w:fill="auto"/>
            <w:noWrap/>
            <w:vAlign w:val="bottom"/>
            <w:hideMark/>
          </w:tcPr>
          <w:p w14:paraId="4BD18F1E"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139,416,114.83</w:t>
            </w:r>
          </w:p>
        </w:tc>
      </w:tr>
      <w:tr w:rsidR="00025CCE" w:rsidRPr="00025CCE" w14:paraId="07AAC61D" w14:textId="77777777" w:rsidTr="00025CCE">
        <w:trPr>
          <w:trHeight w:val="315"/>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74D5C9FB"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DERECHOS</w:t>
            </w:r>
          </w:p>
        </w:tc>
        <w:tc>
          <w:tcPr>
            <w:tcW w:w="2560" w:type="dxa"/>
            <w:tcBorders>
              <w:top w:val="nil"/>
              <w:left w:val="nil"/>
              <w:bottom w:val="single" w:sz="4" w:space="0" w:color="auto"/>
              <w:right w:val="single" w:sz="4" w:space="0" w:color="auto"/>
            </w:tcBorders>
            <w:shd w:val="clear" w:color="auto" w:fill="auto"/>
            <w:noWrap/>
            <w:vAlign w:val="bottom"/>
            <w:hideMark/>
          </w:tcPr>
          <w:p w14:paraId="48B29FD7"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141,779,217.65</w:t>
            </w:r>
          </w:p>
        </w:tc>
      </w:tr>
      <w:tr w:rsidR="00025CCE" w:rsidRPr="00025CCE" w14:paraId="41506C2E" w14:textId="77777777" w:rsidTr="00025CCE">
        <w:trPr>
          <w:trHeight w:val="315"/>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3D7EF331"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PRODUCTOS</w:t>
            </w:r>
          </w:p>
        </w:tc>
        <w:tc>
          <w:tcPr>
            <w:tcW w:w="2560" w:type="dxa"/>
            <w:tcBorders>
              <w:top w:val="nil"/>
              <w:left w:val="nil"/>
              <w:bottom w:val="single" w:sz="4" w:space="0" w:color="auto"/>
              <w:right w:val="single" w:sz="4" w:space="0" w:color="auto"/>
            </w:tcBorders>
            <w:shd w:val="clear" w:color="auto" w:fill="auto"/>
            <w:noWrap/>
            <w:vAlign w:val="bottom"/>
            <w:hideMark/>
          </w:tcPr>
          <w:p w14:paraId="4A448288"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29,928,845.20</w:t>
            </w:r>
          </w:p>
        </w:tc>
      </w:tr>
      <w:tr w:rsidR="00025CCE" w:rsidRPr="00025CCE" w14:paraId="0033D54D" w14:textId="77777777" w:rsidTr="00025CCE">
        <w:trPr>
          <w:trHeight w:val="315"/>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4552F335"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APROVECHAMIENTOS</w:t>
            </w:r>
          </w:p>
        </w:tc>
        <w:tc>
          <w:tcPr>
            <w:tcW w:w="2560" w:type="dxa"/>
            <w:tcBorders>
              <w:top w:val="nil"/>
              <w:left w:val="nil"/>
              <w:bottom w:val="single" w:sz="4" w:space="0" w:color="auto"/>
              <w:right w:val="single" w:sz="4" w:space="0" w:color="auto"/>
            </w:tcBorders>
            <w:shd w:val="clear" w:color="auto" w:fill="auto"/>
            <w:noWrap/>
            <w:vAlign w:val="bottom"/>
            <w:hideMark/>
          </w:tcPr>
          <w:p w14:paraId="1A491192"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11,637,525.85</w:t>
            </w:r>
          </w:p>
        </w:tc>
      </w:tr>
      <w:tr w:rsidR="00025CCE" w:rsidRPr="00025CCE" w14:paraId="5CDDE718" w14:textId="77777777" w:rsidTr="00025CCE">
        <w:trPr>
          <w:trHeight w:val="915"/>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5F8A947B"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PARTICIPACIONES, APORTACIONES, CONVENIOS, INCENTIVOS DERIVADOS DE LA COLABORACIÓN FISCAL Y FONDOS DISTINTOS DE APORTACIONES</w:t>
            </w:r>
          </w:p>
        </w:tc>
        <w:tc>
          <w:tcPr>
            <w:tcW w:w="2560" w:type="dxa"/>
            <w:tcBorders>
              <w:top w:val="nil"/>
              <w:left w:val="nil"/>
              <w:bottom w:val="single" w:sz="4" w:space="0" w:color="auto"/>
              <w:right w:val="single" w:sz="4" w:space="0" w:color="auto"/>
            </w:tcBorders>
            <w:shd w:val="clear" w:color="auto" w:fill="auto"/>
            <w:noWrap/>
            <w:vAlign w:val="bottom"/>
            <w:hideMark/>
          </w:tcPr>
          <w:p w14:paraId="626F24A6"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657,182,544.45</w:t>
            </w:r>
          </w:p>
        </w:tc>
      </w:tr>
      <w:tr w:rsidR="00025CCE" w:rsidRPr="00025CCE" w14:paraId="5E527DD8" w14:textId="77777777" w:rsidTr="00025CCE">
        <w:trPr>
          <w:trHeight w:val="69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47F7680C"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TRANSFERENCIAS, ASIGNACIONES, SUBSIDIOS Y SUBVENCIONES, Y PENSIONES Y JUBILACIONES</w:t>
            </w:r>
          </w:p>
        </w:tc>
        <w:tc>
          <w:tcPr>
            <w:tcW w:w="2560" w:type="dxa"/>
            <w:tcBorders>
              <w:top w:val="nil"/>
              <w:left w:val="nil"/>
              <w:bottom w:val="single" w:sz="4" w:space="0" w:color="auto"/>
              <w:right w:val="single" w:sz="4" w:space="0" w:color="auto"/>
            </w:tcBorders>
            <w:shd w:val="clear" w:color="auto" w:fill="auto"/>
            <w:noWrap/>
            <w:vAlign w:val="bottom"/>
            <w:hideMark/>
          </w:tcPr>
          <w:p w14:paraId="795F7683"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73,854,559.30</w:t>
            </w:r>
          </w:p>
        </w:tc>
      </w:tr>
      <w:tr w:rsidR="00025CCE" w:rsidRPr="00025CCE" w14:paraId="12779730" w14:textId="77777777" w:rsidTr="00025CCE">
        <w:trPr>
          <w:trHeight w:val="315"/>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1DB2A3DC"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OTROS INGRESOS Y BENEFICIOS</w:t>
            </w:r>
          </w:p>
        </w:tc>
        <w:tc>
          <w:tcPr>
            <w:tcW w:w="2560" w:type="dxa"/>
            <w:tcBorders>
              <w:top w:val="nil"/>
              <w:left w:val="nil"/>
              <w:bottom w:val="single" w:sz="4" w:space="0" w:color="auto"/>
              <w:right w:val="single" w:sz="4" w:space="0" w:color="auto"/>
            </w:tcBorders>
            <w:shd w:val="clear" w:color="auto" w:fill="auto"/>
            <w:vAlign w:val="center"/>
            <w:hideMark/>
          </w:tcPr>
          <w:p w14:paraId="6944E0F9" w14:textId="77777777" w:rsidR="00025CCE" w:rsidRPr="00025CCE" w:rsidRDefault="00025CCE" w:rsidP="00025CCE">
            <w:pPr>
              <w:spacing w:after="0" w:line="240" w:lineRule="auto"/>
              <w:jc w:val="right"/>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0.00</w:t>
            </w:r>
          </w:p>
        </w:tc>
      </w:tr>
      <w:tr w:rsidR="00025CCE" w:rsidRPr="00025CCE" w14:paraId="5A7831F6" w14:textId="77777777" w:rsidTr="00025CCE">
        <w:trPr>
          <w:trHeight w:val="3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10EFC10A" w14:textId="77777777" w:rsidR="00025CCE" w:rsidRPr="00025CCE" w:rsidRDefault="00025CCE" w:rsidP="00025CCE">
            <w:pPr>
              <w:spacing w:after="0" w:line="240" w:lineRule="auto"/>
              <w:rPr>
                <w:rFonts w:ascii="Arial" w:eastAsia="Times New Roman" w:hAnsi="Arial" w:cs="Arial"/>
                <w:b/>
                <w:bCs/>
                <w:color w:val="000000"/>
                <w:sz w:val="16"/>
                <w:szCs w:val="16"/>
                <w:lang w:eastAsia="es-MX"/>
              </w:rPr>
            </w:pPr>
            <w:r w:rsidRPr="00025CCE">
              <w:rPr>
                <w:rFonts w:ascii="Arial" w:eastAsia="Times New Roman" w:hAnsi="Arial" w:cs="Arial"/>
                <w:b/>
                <w:bCs/>
                <w:color w:val="000000"/>
                <w:sz w:val="16"/>
                <w:szCs w:val="16"/>
                <w:lang w:eastAsia="es-MX"/>
              </w:rPr>
              <w:t>TOTAL</w:t>
            </w:r>
          </w:p>
        </w:tc>
        <w:tc>
          <w:tcPr>
            <w:tcW w:w="2560" w:type="dxa"/>
            <w:tcBorders>
              <w:top w:val="nil"/>
              <w:left w:val="nil"/>
              <w:bottom w:val="single" w:sz="4" w:space="0" w:color="auto"/>
              <w:right w:val="single" w:sz="4" w:space="0" w:color="auto"/>
            </w:tcBorders>
            <w:shd w:val="clear" w:color="auto" w:fill="auto"/>
            <w:vAlign w:val="center"/>
            <w:hideMark/>
          </w:tcPr>
          <w:p w14:paraId="58CD63BD" w14:textId="77777777" w:rsidR="00025CCE" w:rsidRPr="00025CCE" w:rsidRDefault="00025CCE" w:rsidP="00025CCE">
            <w:pPr>
              <w:spacing w:after="0" w:line="240" w:lineRule="auto"/>
              <w:jc w:val="right"/>
              <w:rPr>
                <w:rFonts w:ascii="Arial" w:eastAsia="Times New Roman" w:hAnsi="Arial" w:cs="Arial"/>
                <w:b/>
                <w:bCs/>
                <w:color w:val="000000"/>
                <w:sz w:val="16"/>
                <w:szCs w:val="16"/>
                <w:lang w:eastAsia="es-MX"/>
              </w:rPr>
            </w:pPr>
            <w:r w:rsidRPr="00025CCE">
              <w:rPr>
                <w:rFonts w:ascii="Arial" w:eastAsia="Times New Roman" w:hAnsi="Arial" w:cs="Arial"/>
                <w:b/>
                <w:bCs/>
                <w:color w:val="000000"/>
                <w:sz w:val="16"/>
                <w:szCs w:val="16"/>
                <w:lang w:eastAsia="es-MX"/>
              </w:rPr>
              <w:t>1,053,798,807.28</w:t>
            </w:r>
          </w:p>
        </w:tc>
      </w:tr>
    </w:tbl>
    <w:p w14:paraId="6DD1F27E" w14:textId="77777777" w:rsidR="00726802" w:rsidRPr="00726802" w:rsidRDefault="00726802" w:rsidP="00726802">
      <w:pPr>
        <w:pStyle w:val="Prrafodelista"/>
        <w:tabs>
          <w:tab w:val="left" w:leader="underscore" w:pos="9639"/>
        </w:tabs>
        <w:spacing w:after="0" w:line="240" w:lineRule="auto"/>
        <w:jc w:val="both"/>
        <w:rPr>
          <w:rFonts w:cs="Calibri"/>
        </w:rPr>
      </w:pPr>
    </w:p>
    <w:p w14:paraId="46025E6B" w14:textId="3E22805F" w:rsidR="00726802" w:rsidRPr="00E74967" w:rsidRDefault="00726802" w:rsidP="001E1EDE">
      <w:pPr>
        <w:tabs>
          <w:tab w:val="left" w:leader="underscore" w:pos="9639"/>
        </w:tabs>
        <w:spacing w:after="0" w:line="240" w:lineRule="auto"/>
        <w:jc w:val="center"/>
        <w:rPr>
          <w:rFonts w:cs="Calibri"/>
        </w:rPr>
      </w:pPr>
    </w:p>
    <w:p w14:paraId="36C23337"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82991F9" w14:textId="77777777" w:rsidR="00726802" w:rsidRDefault="00726802" w:rsidP="00CB41C4">
      <w:pPr>
        <w:tabs>
          <w:tab w:val="left" w:leader="underscore" w:pos="9639"/>
        </w:tabs>
        <w:spacing w:after="0" w:line="240" w:lineRule="auto"/>
        <w:jc w:val="both"/>
        <w:rPr>
          <w:rFonts w:cs="Calibri"/>
        </w:rPr>
      </w:pPr>
    </w:p>
    <w:p w14:paraId="63948B2E" w14:textId="77777777" w:rsidR="00BB7FDF" w:rsidRDefault="00BB7FDF" w:rsidP="00CB41C4">
      <w:pPr>
        <w:tabs>
          <w:tab w:val="left" w:leader="underscore" w:pos="9639"/>
        </w:tabs>
        <w:spacing w:after="0" w:line="240" w:lineRule="auto"/>
        <w:jc w:val="both"/>
        <w:rPr>
          <w:rFonts w:cs="Calibri"/>
        </w:rPr>
      </w:pPr>
    </w:p>
    <w:tbl>
      <w:tblPr>
        <w:tblW w:w="5740" w:type="dxa"/>
        <w:jc w:val="center"/>
        <w:tblCellMar>
          <w:left w:w="70" w:type="dxa"/>
          <w:right w:w="70" w:type="dxa"/>
        </w:tblCellMar>
        <w:tblLook w:val="04A0" w:firstRow="1" w:lastRow="0" w:firstColumn="1" w:lastColumn="0" w:noHBand="0" w:noVBand="1"/>
      </w:tblPr>
      <w:tblGrid>
        <w:gridCol w:w="3180"/>
        <w:gridCol w:w="2560"/>
      </w:tblGrid>
      <w:tr w:rsidR="00025CCE" w:rsidRPr="00025CCE" w14:paraId="6EACF8AA" w14:textId="77777777" w:rsidTr="00025CCE">
        <w:trPr>
          <w:trHeight w:val="300"/>
          <w:jc w:val="center"/>
        </w:trPr>
        <w:tc>
          <w:tcPr>
            <w:tcW w:w="5740" w:type="dxa"/>
            <w:gridSpan w:val="2"/>
            <w:tcBorders>
              <w:top w:val="single" w:sz="4" w:space="0" w:color="auto"/>
              <w:left w:val="single" w:sz="4" w:space="0" w:color="auto"/>
              <w:bottom w:val="single" w:sz="4" w:space="0" w:color="auto"/>
              <w:right w:val="single" w:sz="4" w:space="0" w:color="auto"/>
            </w:tcBorders>
            <w:shd w:val="clear" w:color="000000" w:fill="3A7B98"/>
            <w:vAlign w:val="center"/>
            <w:hideMark/>
          </w:tcPr>
          <w:p w14:paraId="3A6FD0E0" w14:textId="77777777" w:rsidR="00025CCE" w:rsidRPr="00025CCE" w:rsidRDefault="00025CCE" w:rsidP="00025CCE">
            <w:pPr>
              <w:spacing w:after="0" w:line="240" w:lineRule="auto"/>
              <w:jc w:val="center"/>
              <w:rPr>
                <w:rFonts w:ascii="Arial" w:eastAsia="Times New Roman" w:hAnsi="Arial" w:cs="Arial"/>
                <w:b/>
                <w:bCs/>
                <w:color w:val="FFFFFF"/>
                <w:sz w:val="16"/>
                <w:szCs w:val="16"/>
                <w:lang w:eastAsia="es-MX"/>
              </w:rPr>
            </w:pPr>
            <w:r w:rsidRPr="00025CCE">
              <w:rPr>
                <w:rFonts w:ascii="Arial" w:eastAsia="Times New Roman" w:hAnsi="Arial" w:cs="Arial"/>
                <w:b/>
                <w:bCs/>
                <w:color w:val="FFFFFF"/>
                <w:sz w:val="16"/>
                <w:szCs w:val="16"/>
                <w:lang w:eastAsia="es-MX"/>
              </w:rPr>
              <w:t>REPORTE DE PRONÓSTICO DE RECAUDACIÓN</w:t>
            </w:r>
          </w:p>
        </w:tc>
      </w:tr>
      <w:tr w:rsidR="00025CCE" w:rsidRPr="00025CCE" w14:paraId="560374DB" w14:textId="77777777" w:rsidTr="00025CCE">
        <w:trPr>
          <w:trHeight w:val="3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7CCC830C"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IMPUESTOS</w:t>
            </w:r>
          </w:p>
        </w:tc>
        <w:tc>
          <w:tcPr>
            <w:tcW w:w="2560" w:type="dxa"/>
            <w:tcBorders>
              <w:top w:val="nil"/>
              <w:left w:val="nil"/>
              <w:bottom w:val="single" w:sz="4" w:space="0" w:color="auto"/>
              <w:right w:val="single" w:sz="4" w:space="0" w:color="auto"/>
            </w:tcBorders>
            <w:shd w:val="clear" w:color="auto" w:fill="auto"/>
            <w:noWrap/>
            <w:vAlign w:val="bottom"/>
            <w:hideMark/>
          </w:tcPr>
          <w:p w14:paraId="4CCC55C6"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140,639,109.76</w:t>
            </w:r>
          </w:p>
        </w:tc>
      </w:tr>
      <w:tr w:rsidR="00025CCE" w:rsidRPr="00025CCE" w14:paraId="08F20B92" w14:textId="77777777" w:rsidTr="00025CCE">
        <w:trPr>
          <w:trHeight w:val="3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5DA6CCEC"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DERECHOS</w:t>
            </w:r>
          </w:p>
        </w:tc>
        <w:tc>
          <w:tcPr>
            <w:tcW w:w="2560" w:type="dxa"/>
            <w:tcBorders>
              <w:top w:val="nil"/>
              <w:left w:val="nil"/>
              <w:bottom w:val="single" w:sz="4" w:space="0" w:color="auto"/>
              <w:right w:val="single" w:sz="4" w:space="0" w:color="auto"/>
            </w:tcBorders>
            <w:shd w:val="clear" w:color="auto" w:fill="auto"/>
            <w:noWrap/>
            <w:vAlign w:val="bottom"/>
            <w:hideMark/>
          </w:tcPr>
          <w:p w14:paraId="631071FE"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134,215,038.97</w:t>
            </w:r>
          </w:p>
        </w:tc>
      </w:tr>
      <w:tr w:rsidR="00025CCE" w:rsidRPr="00025CCE" w14:paraId="193E3E86" w14:textId="77777777" w:rsidTr="00025CCE">
        <w:trPr>
          <w:trHeight w:val="3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48B2A1E7"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PRODUCTOS</w:t>
            </w:r>
          </w:p>
        </w:tc>
        <w:tc>
          <w:tcPr>
            <w:tcW w:w="2560" w:type="dxa"/>
            <w:tcBorders>
              <w:top w:val="nil"/>
              <w:left w:val="nil"/>
              <w:bottom w:val="single" w:sz="4" w:space="0" w:color="auto"/>
              <w:right w:val="single" w:sz="4" w:space="0" w:color="auto"/>
            </w:tcBorders>
            <w:shd w:val="clear" w:color="auto" w:fill="auto"/>
            <w:noWrap/>
            <w:vAlign w:val="bottom"/>
            <w:hideMark/>
          </w:tcPr>
          <w:p w14:paraId="07F9E7CC"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40,883,078.30</w:t>
            </w:r>
          </w:p>
        </w:tc>
      </w:tr>
      <w:tr w:rsidR="00025CCE" w:rsidRPr="00025CCE" w14:paraId="636DA43E" w14:textId="77777777" w:rsidTr="00025CCE">
        <w:trPr>
          <w:trHeight w:val="3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03F1641D"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APROVECHAMIENTOS</w:t>
            </w:r>
          </w:p>
        </w:tc>
        <w:tc>
          <w:tcPr>
            <w:tcW w:w="2560" w:type="dxa"/>
            <w:tcBorders>
              <w:top w:val="nil"/>
              <w:left w:val="nil"/>
              <w:bottom w:val="single" w:sz="4" w:space="0" w:color="auto"/>
              <w:right w:val="single" w:sz="4" w:space="0" w:color="auto"/>
            </w:tcBorders>
            <w:shd w:val="clear" w:color="auto" w:fill="auto"/>
            <w:noWrap/>
            <w:vAlign w:val="bottom"/>
            <w:hideMark/>
          </w:tcPr>
          <w:p w14:paraId="5E9A604F"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18,943,505.46</w:t>
            </w:r>
          </w:p>
        </w:tc>
      </w:tr>
      <w:tr w:rsidR="00025CCE" w:rsidRPr="00025CCE" w14:paraId="5D61439F" w14:textId="77777777" w:rsidTr="00025CCE">
        <w:trPr>
          <w:trHeight w:val="9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0042CDCC"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PARTICIPACIONES, APORTACIONES, CONVENIOS, INCENTIVOS DERIVADOS DE LA COLABORACIÓN FISCAL Y FONDOS DISTINTOS DE APORTACIONES</w:t>
            </w:r>
          </w:p>
        </w:tc>
        <w:tc>
          <w:tcPr>
            <w:tcW w:w="2560" w:type="dxa"/>
            <w:tcBorders>
              <w:top w:val="nil"/>
              <w:left w:val="nil"/>
              <w:bottom w:val="single" w:sz="4" w:space="0" w:color="auto"/>
              <w:right w:val="single" w:sz="4" w:space="0" w:color="auto"/>
            </w:tcBorders>
            <w:shd w:val="clear" w:color="auto" w:fill="auto"/>
            <w:noWrap/>
            <w:vAlign w:val="bottom"/>
            <w:hideMark/>
          </w:tcPr>
          <w:p w14:paraId="1DDDB479"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653,491,522.72</w:t>
            </w:r>
          </w:p>
        </w:tc>
      </w:tr>
      <w:tr w:rsidR="00025CCE" w:rsidRPr="00025CCE" w14:paraId="1DC9196E" w14:textId="77777777" w:rsidTr="00025CCE">
        <w:trPr>
          <w:trHeight w:val="675"/>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776C25CA"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TRANSFERENCIAS, ASIGNACIONES, SUBSIDIOS Y SUBVENCIONES, Y PENSIONES Y JUBILACIONES</w:t>
            </w:r>
          </w:p>
        </w:tc>
        <w:tc>
          <w:tcPr>
            <w:tcW w:w="2560" w:type="dxa"/>
            <w:tcBorders>
              <w:top w:val="nil"/>
              <w:left w:val="nil"/>
              <w:bottom w:val="single" w:sz="4" w:space="0" w:color="auto"/>
              <w:right w:val="single" w:sz="4" w:space="0" w:color="auto"/>
            </w:tcBorders>
            <w:shd w:val="clear" w:color="auto" w:fill="auto"/>
            <w:noWrap/>
            <w:vAlign w:val="bottom"/>
            <w:hideMark/>
          </w:tcPr>
          <w:p w14:paraId="0AF2C054"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83,308,708.06</w:t>
            </w:r>
          </w:p>
        </w:tc>
      </w:tr>
      <w:tr w:rsidR="00025CCE" w:rsidRPr="00025CCE" w14:paraId="46AB6755" w14:textId="77777777" w:rsidTr="00025CCE">
        <w:trPr>
          <w:trHeight w:val="3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46E14C4E" w14:textId="77777777" w:rsidR="00025CCE" w:rsidRPr="00025CCE" w:rsidRDefault="00025CCE" w:rsidP="00025CCE">
            <w:pPr>
              <w:spacing w:after="0" w:line="240" w:lineRule="auto"/>
              <w:rPr>
                <w:rFonts w:ascii="Arial" w:eastAsia="Times New Roman" w:hAnsi="Arial" w:cs="Arial"/>
                <w:color w:val="000000"/>
                <w:sz w:val="16"/>
                <w:szCs w:val="16"/>
                <w:lang w:eastAsia="es-MX"/>
              </w:rPr>
            </w:pPr>
            <w:r w:rsidRPr="00025CCE">
              <w:rPr>
                <w:rFonts w:ascii="Arial" w:eastAsia="Times New Roman" w:hAnsi="Arial" w:cs="Arial"/>
                <w:color w:val="000000"/>
                <w:sz w:val="16"/>
                <w:szCs w:val="16"/>
                <w:lang w:eastAsia="es-MX"/>
              </w:rPr>
              <w:t>OTROS INGRESOS Y BENEFICIOS</w:t>
            </w:r>
          </w:p>
        </w:tc>
        <w:tc>
          <w:tcPr>
            <w:tcW w:w="2560" w:type="dxa"/>
            <w:tcBorders>
              <w:top w:val="nil"/>
              <w:left w:val="nil"/>
              <w:bottom w:val="single" w:sz="4" w:space="0" w:color="auto"/>
              <w:right w:val="single" w:sz="4" w:space="0" w:color="auto"/>
            </w:tcBorders>
            <w:shd w:val="clear" w:color="auto" w:fill="auto"/>
            <w:noWrap/>
            <w:vAlign w:val="bottom"/>
            <w:hideMark/>
          </w:tcPr>
          <w:p w14:paraId="4C3920C8" w14:textId="77777777" w:rsidR="00025CCE" w:rsidRPr="00025CCE" w:rsidRDefault="00025CCE" w:rsidP="00025CCE">
            <w:pPr>
              <w:spacing w:after="0" w:line="240" w:lineRule="auto"/>
              <w:jc w:val="right"/>
              <w:rPr>
                <w:rFonts w:ascii="Arial" w:eastAsia="Times New Roman" w:hAnsi="Arial" w:cs="Arial"/>
                <w:sz w:val="16"/>
                <w:szCs w:val="16"/>
                <w:lang w:eastAsia="es-MX"/>
              </w:rPr>
            </w:pPr>
            <w:r w:rsidRPr="00025CCE">
              <w:rPr>
                <w:rFonts w:ascii="Arial" w:eastAsia="Times New Roman" w:hAnsi="Arial" w:cs="Arial"/>
                <w:sz w:val="16"/>
                <w:szCs w:val="16"/>
                <w:lang w:eastAsia="es-MX"/>
              </w:rPr>
              <w:t>0.00</w:t>
            </w:r>
          </w:p>
        </w:tc>
      </w:tr>
      <w:tr w:rsidR="00025CCE" w:rsidRPr="00025CCE" w14:paraId="103C01DF" w14:textId="77777777" w:rsidTr="00025CCE">
        <w:trPr>
          <w:trHeight w:val="300"/>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38A7F714" w14:textId="77777777" w:rsidR="00025CCE" w:rsidRPr="00025CCE" w:rsidRDefault="00025CCE" w:rsidP="00025CCE">
            <w:pPr>
              <w:spacing w:after="0" w:line="240" w:lineRule="auto"/>
              <w:rPr>
                <w:rFonts w:ascii="Arial" w:eastAsia="Times New Roman" w:hAnsi="Arial" w:cs="Arial"/>
                <w:b/>
                <w:bCs/>
                <w:color w:val="000000"/>
                <w:sz w:val="16"/>
                <w:szCs w:val="16"/>
                <w:lang w:eastAsia="es-MX"/>
              </w:rPr>
            </w:pPr>
            <w:r w:rsidRPr="00025CCE">
              <w:rPr>
                <w:rFonts w:ascii="Arial" w:eastAsia="Times New Roman" w:hAnsi="Arial" w:cs="Arial"/>
                <w:b/>
                <w:bCs/>
                <w:color w:val="000000"/>
                <w:sz w:val="16"/>
                <w:szCs w:val="16"/>
                <w:lang w:eastAsia="es-MX"/>
              </w:rPr>
              <w:t>TOTAL</w:t>
            </w:r>
          </w:p>
        </w:tc>
        <w:tc>
          <w:tcPr>
            <w:tcW w:w="2560" w:type="dxa"/>
            <w:tcBorders>
              <w:top w:val="nil"/>
              <w:left w:val="nil"/>
              <w:bottom w:val="single" w:sz="4" w:space="0" w:color="auto"/>
              <w:right w:val="single" w:sz="4" w:space="0" w:color="auto"/>
            </w:tcBorders>
            <w:shd w:val="clear" w:color="auto" w:fill="auto"/>
            <w:vAlign w:val="center"/>
            <w:hideMark/>
          </w:tcPr>
          <w:p w14:paraId="1EBE93E2" w14:textId="77777777" w:rsidR="00025CCE" w:rsidRPr="00025CCE" w:rsidRDefault="00025CCE" w:rsidP="00025CCE">
            <w:pPr>
              <w:spacing w:after="0" w:line="240" w:lineRule="auto"/>
              <w:jc w:val="right"/>
              <w:rPr>
                <w:rFonts w:ascii="Arial" w:eastAsia="Times New Roman" w:hAnsi="Arial" w:cs="Arial"/>
                <w:b/>
                <w:bCs/>
                <w:color w:val="000000"/>
                <w:sz w:val="16"/>
                <w:szCs w:val="16"/>
                <w:lang w:eastAsia="es-MX"/>
              </w:rPr>
            </w:pPr>
            <w:r w:rsidRPr="00025CCE">
              <w:rPr>
                <w:rFonts w:ascii="Arial" w:eastAsia="Times New Roman" w:hAnsi="Arial" w:cs="Arial"/>
                <w:b/>
                <w:bCs/>
                <w:color w:val="000000"/>
                <w:sz w:val="16"/>
                <w:szCs w:val="16"/>
                <w:lang w:eastAsia="es-MX"/>
              </w:rPr>
              <w:t>1,071,480,963.27</w:t>
            </w:r>
          </w:p>
        </w:tc>
      </w:tr>
    </w:tbl>
    <w:p w14:paraId="4CA38CC2" w14:textId="77777777" w:rsidR="001E1EDE" w:rsidRPr="00E74967" w:rsidRDefault="001E1EDE"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3" w:name="_Toc188953072"/>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3"/>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EAE6B5E" w14:textId="77777777" w:rsidR="000F0656" w:rsidRDefault="000F0656" w:rsidP="00CB41C4">
      <w:pPr>
        <w:tabs>
          <w:tab w:val="left" w:leader="underscore" w:pos="9639"/>
        </w:tabs>
        <w:spacing w:after="0" w:line="240" w:lineRule="auto"/>
        <w:jc w:val="both"/>
        <w:rPr>
          <w:rFonts w:cs="Calibri"/>
        </w:rPr>
      </w:pPr>
    </w:p>
    <w:p w14:paraId="78CD75E3" w14:textId="6CDDC4A3" w:rsidR="000F0656" w:rsidRPr="00E74967" w:rsidRDefault="000F0656" w:rsidP="000F0656">
      <w:pPr>
        <w:spacing w:after="0" w:line="240" w:lineRule="auto"/>
        <w:jc w:val="both"/>
        <w:rPr>
          <w:rFonts w:cs="Calibri"/>
        </w:rPr>
      </w:pPr>
      <w:r w:rsidRPr="00894D6C">
        <w:rPr>
          <w:rFonts w:eastAsia="Times New Roman" w:cs="Arial"/>
          <w:szCs w:val="16"/>
        </w:rPr>
        <w:t>Al periodo</w:t>
      </w:r>
      <w:r>
        <w:rPr>
          <w:rFonts w:cs="Calibri"/>
        </w:rPr>
        <w:t xml:space="preserve"> que se informa no se tiene contratada deuda.</w:t>
      </w:r>
    </w:p>
    <w:p w14:paraId="3459EC5D" w14:textId="77777777" w:rsidR="000F0656" w:rsidRPr="00E74967" w:rsidRDefault="000F065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4" w:name="_Toc188953073"/>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4"/>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003F02B" w14:textId="77777777" w:rsidR="000F0656" w:rsidRDefault="000F0656" w:rsidP="000F0656">
      <w:pPr>
        <w:spacing w:after="0"/>
        <w:jc w:val="both"/>
        <w:rPr>
          <w:rFonts w:cs="Arial"/>
          <w:szCs w:val="16"/>
        </w:rPr>
      </w:pPr>
    </w:p>
    <w:p w14:paraId="675DE4BC" w14:textId="77777777" w:rsidR="00C67E8E" w:rsidRDefault="00C67E8E" w:rsidP="000F0656">
      <w:pPr>
        <w:spacing w:after="0"/>
        <w:jc w:val="both"/>
        <w:rPr>
          <w:rFonts w:cs="Arial"/>
          <w:b/>
          <w:bCs/>
          <w:szCs w:val="16"/>
        </w:rPr>
      </w:pPr>
    </w:p>
    <w:p w14:paraId="5C6EA037" w14:textId="77777777" w:rsidR="006A65AB" w:rsidRDefault="006A65AB" w:rsidP="000F0656">
      <w:pPr>
        <w:spacing w:after="0"/>
        <w:jc w:val="both"/>
        <w:rPr>
          <w:rFonts w:cs="Arial"/>
          <w:b/>
          <w:bCs/>
          <w:szCs w:val="16"/>
        </w:rPr>
      </w:pPr>
    </w:p>
    <w:p w14:paraId="33DC1236" w14:textId="77777777" w:rsidR="006A65AB" w:rsidRDefault="006A65AB" w:rsidP="000F0656">
      <w:pPr>
        <w:spacing w:after="0"/>
        <w:jc w:val="both"/>
        <w:rPr>
          <w:rFonts w:cs="Arial"/>
          <w:b/>
          <w:bCs/>
          <w:szCs w:val="16"/>
        </w:rPr>
      </w:pPr>
    </w:p>
    <w:p w14:paraId="74EDC497" w14:textId="1B0542B0" w:rsidR="000F0656" w:rsidRPr="00D2066F" w:rsidRDefault="000F0656" w:rsidP="000F0656">
      <w:pPr>
        <w:spacing w:after="0"/>
        <w:jc w:val="both"/>
        <w:rPr>
          <w:rFonts w:cs="Arial"/>
          <w:szCs w:val="16"/>
        </w:rPr>
      </w:pPr>
      <w:r w:rsidRPr="00C67E8E">
        <w:rPr>
          <w:rFonts w:cs="Arial"/>
          <w:b/>
          <w:bCs/>
          <w:szCs w:val="16"/>
        </w:rPr>
        <w:t>HR Ratings otorgo un alza a la calificación de</w:t>
      </w:r>
      <w:r>
        <w:rPr>
          <w:rFonts w:cs="Arial"/>
          <w:szCs w:val="16"/>
        </w:rPr>
        <w:t xml:space="preserve"> </w:t>
      </w:r>
      <w:r w:rsidRPr="00270878">
        <w:rPr>
          <w:b/>
        </w:rPr>
        <w:t>HR AA a HR AA+</w:t>
      </w:r>
      <w:r w:rsidRPr="00D2066F">
        <w:rPr>
          <w:rFonts w:cs="Arial"/>
          <w:szCs w:val="16"/>
        </w:rPr>
        <w:t xml:space="preserve"> </w:t>
      </w:r>
      <w:r>
        <w:t xml:space="preserve">y mantuvo la Perspectiva Estable al Municipio de Guanajuato, Estado de </w:t>
      </w:r>
      <w:r w:rsidR="00FA067D">
        <w:t>Guanajuato al 20 de marzo de 2024</w:t>
      </w:r>
      <w:r>
        <w:t>.</w:t>
      </w:r>
    </w:p>
    <w:p w14:paraId="609BBCA1" w14:textId="77777777" w:rsidR="000F0656" w:rsidRDefault="000F0656" w:rsidP="000F0656">
      <w:pPr>
        <w:pStyle w:val="Default"/>
      </w:pPr>
    </w:p>
    <w:p w14:paraId="193A738D" w14:textId="54E03873" w:rsidR="00C67E8E" w:rsidRPr="00C67E8E" w:rsidRDefault="00C67E8E" w:rsidP="00C67E8E">
      <w:pPr>
        <w:pStyle w:val="Default"/>
        <w:jc w:val="both"/>
        <w:rPr>
          <w:rFonts w:ascii="Calibri" w:hAnsi="Calibri" w:cs="Times New Roman"/>
          <w:color w:val="auto"/>
          <w:sz w:val="22"/>
          <w:szCs w:val="22"/>
          <w:lang w:eastAsia="en-US"/>
        </w:rPr>
      </w:pPr>
      <w:r w:rsidRPr="00C67E8E">
        <w:rPr>
          <w:rFonts w:ascii="Calibri" w:hAnsi="Calibri" w:cs="Times New Roman"/>
          <w:color w:val="auto"/>
          <w:sz w:val="22"/>
          <w:szCs w:val="22"/>
          <w:lang w:eastAsia="en-US"/>
        </w:rPr>
        <w:t>La ratificación de la calificación se debe principalmente a que el Municipio mantuvo un nulo endeudamiento al cierre del 2023, lo que ya se consideraba en las proyecciones de HR Ratings. Debido a mayores ingresos por Participaciones Federales, así como un mejor desempeño de la recaudación propia, los Ingresos de Libre Disposición (ILD) de la Entidad aumentaron en un 7.8% con relación a 2022. Lo anterior se reflejó en una mejora de la posición de liquidez y permitió al Municipio mantener el</w:t>
      </w:r>
      <w:r>
        <w:rPr>
          <w:rFonts w:ascii="Calibri" w:hAnsi="Calibri" w:cs="Times New Roman"/>
          <w:color w:val="auto"/>
          <w:sz w:val="22"/>
          <w:szCs w:val="22"/>
          <w:lang w:eastAsia="en-US"/>
        </w:rPr>
        <w:t xml:space="preserve"> </w:t>
      </w:r>
      <w:r w:rsidRPr="00C67E8E">
        <w:rPr>
          <w:rFonts w:ascii="Calibri" w:hAnsi="Calibri" w:cs="Times New Roman"/>
          <w:color w:val="auto"/>
          <w:sz w:val="22"/>
          <w:szCs w:val="22"/>
          <w:lang w:eastAsia="en-US"/>
        </w:rPr>
        <w:t>nulo uso de financiamiento de corto o largo plazo</w:t>
      </w:r>
      <w:r>
        <w:rPr>
          <w:rFonts w:ascii="Calibri" w:hAnsi="Calibri" w:cs="Times New Roman"/>
          <w:color w:val="auto"/>
          <w:sz w:val="22"/>
          <w:szCs w:val="22"/>
          <w:lang w:eastAsia="en-US"/>
        </w:rPr>
        <w:t>.</w:t>
      </w:r>
    </w:p>
    <w:p w14:paraId="7B61CFBE" w14:textId="77777777" w:rsidR="00C67E8E" w:rsidRDefault="00C67E8E" w:rsidP="000F0656">
      <w:pPr>
        <w:pStyle w:val="Default"/>
      </w:pPr>
    </w:p>
    <w:p w14:paraId="25E953C5" w14:textId="77777777" w:rsidR="00C67E8E" w:rsidRDefault="00C67E8E" w:rsidP="000F0656">
      <w:pPr>
        <w:pStyle w:val="Default"/>
      </w:pPr>
    </w:p>
    <w:p w14:paraId="51A05C5B" w14:textId="747C77C1" w:rsidR="000F0656" w:rsidRPr="00D2066F" w:rsidRDefault="000F0656" w:rsidP="000F0656">
      <w:pPr>
        <w:spacing w:after="0"/>
        <w:jc w:val="both"/>
        <w:rPr>
          <w:rFonts w:cs="Arial"/>
          <w:szCs w:val="16"/>
        </w:rPr>
      </w:pPr>
      <w:proofErr w:type="spellStart"/>
      <w:r w:rsidRPr="00C67E8E">
        <w:rPr>
          <w:rFonts w:cs="Arial"/>
          <w:b/>
          <w:bCs/>
          <w:szCs w:val="16"/>
        </w:rPr>
        <w:t>Fitch</w:t>
      </w:r>
      <w:proofErr w:type="spellEnd"/>
      <w:r w:rsidRPr="00C67E8E">
        <w:rPr>
          <w:rFonts w:cs="Arial"/>
          <w:b/>
          <w:bCs/>
          <w:szCs w:val="16"/>
        </w:rPr>
        <w:t xml:space="preserve"> Ratings </w:t>
      </w:r>
      <w:r w:rsidR="00A15053" w:rsidRPr="00C67E8E">
        <w:rPr>
          <w:rFonts w:cs="Arial"/>
          <w:b/>
          <w:bCs/>
          <w:szCs w:val="16"/>
        </w:rPr>
        <w:t>incrementó</w:t>
      </w:r>
      <w:r w:rsidRPr="00C67E8E">
        <w:rPr>
          <w:rFonts w:cs="Arial"/>
          <w:b/>
          <w:bCs/>
          <w:szCs w:val="16"/>
        </w:rPr>
        <w:t xml:space="preserve"> la calificación de ‘AA+ (</w:t>
      </w:r>
      <w:proofErr w:type="spellStart"/>
      <w:r w:rsidRPr="00C67E8E">
        <w:rPr>
          <w:rFonts w:cs="Arial"/>
          <w:b/>
          <w:bCs/>
          <w:szCs w:val="16"/>
        </w:rPr>
        <w:t>mex</w:t>
      </w:r>
      <w:proofErr w:type="spellEnd"/>
      <w:r w:rsidRPr="00C67E8E">
        <w:rPr>
          <w:rFonts w:cs="Arial"/>
          <w:b/>
          <w:bCs/>
          <w:szCs w:val="16"/>
        </w:rPr>
        <w:t xml:space="preserve">)’ </w:t>
      </w:r>
      <w:r w:rsidR="00A15053" w:rsidRPr="00C67E8E">
        <w:rPr>
          <w:rFonts w:cs="Arial"/>
          <w:b/>
          <w:bCs/>
          <w:szCs w:val="16"/>
        </w:rPr>
        <w:t>a AAA (</w:t>
      </w:r>
      <w:proofErr w:type="spellStart"/>
      <w:r w:rsidR="00A15053" w:rsidRPr="00C67E8E">
        <w:rPr>
          <w:rFonts w:cs="Arial"/>
          <w:b/>
          <w:bCs/>
          <w:szCs w:val="16"/>
        </w:rPr>
        <w:t>mex</w:t>
      </w:r>
      <w:proofErr w:type="spellEnd"/>
      <w:r w:rsidR="00A15053" w:rsidRPr="00C67E8E">
        <w:rPr>
          <w:rFonts w:cs="Arial"/>
          <w:b/>
          <w:bCs/>
          <w:szCs w:val="16"/>
        </w:rPr>
        <w:t>)</w:t>
      </w:r>
      <w:r w:rsidR="00A15053">
        <w:rPr>
          <w:rFonts w:cs="Arial"/>
          <w:szCs w:val="16"/>
        </w:rPr>
        <w:t xml:space="preserve"> </w:t>
      </w:r>
      <w:r w:rsidRPr="00D2066F">
        <w:rPr>
          <w:rFonts w:cs="Arial"/>
          <w:szCs w:val="16"/>
        </w:rPr>
        <w:t xml:space="preserve">al Municipio de Guanajuato, Guanajuato. La Perspectiva es Estable al </w:t>
      </w:r>
      <w:r w:rsidR="00A15053">
        <w:rPr>
          <w:rFonts w:cs="Arial"/>
          <w:szCs w:val="16"/>
        </w:rPr>
        <w:t>15</w:t>
      </w:r>
      <w:r w:rsidRPr="00D2066F">
        <w:rPr>
          <w:rFonts w:cs="Arial"/>
          <w:szCs w:val="16"/>
        </w:rPr>
        <w:t xml:space="preserve"> de </w:t>
      </w:r>
      <w:r w:rsidR="00A15053">
        <w:rPr>
          <w:rFonts w:cs="Arial"/>
          <w:szCs w:val="16"/>
        </w:rPr>
        <w:t>junio</w:t>
      </w:r>
      <w:r w:rsidRPr="00D2066F">
        <w:rPr>
          <w:rFonts w:cs="Arial"/>
          <w:szCs w:val="16"/>
        </w:rPr>
        <w:t xml:space="preserve"> </w:t>
      </w:r>
      <w:r>
        <w:rPr>
          <w:rFonts w:cs="Arial"/>
          <w:szCs w:val="16"/>
        </w:rPr>
        <w:t>de 202</w:t>
      </w:r>
      <w:r w:rsidR="00A15053">
        <w:rPr>
          <w:rFonts w:cs="Arial"/>
          <w:szCs w:val="16"/>
        </w:rPr>
        <w:t>4</w:t>
      </w:r>
      <w:r w:rsidRPr="00D2066F">
        <w:rPr>
          <w:rFonts w:cs="Arial"/>
          <w:szCs w:val="16"/>
        </w:rPr>
        <w:t>.</w:t>
      </w:r>
    </w:p>
    <w:p w14:paraId="6B02EAB0" w14:textId="77777777" w:rsidR="007D1E76" w:rsidRPr="00E74967" w:rsidRDefault="007D1E76" w:rsidP="00CB41C4">
      <w:pPr>
        <w:tabs>
          <w:tab w:val="left" w:leader="underscore" w:pos="9639"/>
        </w:tabs>
        <w:spacing w:after="0" w:line="240" w:lineRule="auto"/>
        <w:jc w:val="both"/>
        <w:rPr>
          <w:rFonts w:cs="Calibri"/>
        </w:rPr>
      </w:pPr>
    </w:p>
    <w:p w14:paraId="0546C56B" w14:textId="74B51E94" w:rsidR="00A15053" w:rsidRPr="00A15053" w:rsidRDefault="00A15053" w:rsidP="00A15053">
      <w:pPr>
        <w:spacing w:after="0"/>
        <w:jc w:val="both"/>
        <w:rPr>
          <w:rFonts w:cs="Arial"/>
          <w:szCs w:val="16"/>
        </w:rPr>
      </w:pPr>
      <w:r w:rsidRPr="00A15053">
        <w:rPr>
          <w:rFonts w:cs="Arial"/>
          <w:szCs w:val="16"/>
        </w:rPr>
        <w:t>El aumento de la calificación del municipio de Guanajuato se sustenta en la estabilidad de las métricas de</w:t>
      </w:r>
      <w:r>
        <w:rPr>
          <w:rFonts w:cs="Arial"/>
          <w:szCs w:val="16"/>
        </w:rPr>
        <w:t xml:space="preserve"> </w:t>
      </w:r>
      <w:r w:rsidRPr="00A15053">
        <w:rPr>
          <w:rFonts w:cs="Arial"/>
          <w:szCs w:val="16"/>
        </w:rPr>
        <w:t xml:space="preserve">deudas proyectadas en el escenario de calificación de </w:t>
      </w:r>
      <w:proofErr w:type="spellStart"/>
      <w:r w:rsidRPr="00A15053">
        <w:rPr>
          <w:rFonts w:cs="Arial"/>
          <w:szCs w:val="16"/>
        </w:rPr>
        <w:t>Fitch</w:t>
      </w:r>
      <w:proofErr w:type="spellEnd"/>
      <w:r w:rsidRPr="00A15053">
        <w:rPr>
          <w:rFonts w:cs="Arial"/>
          <w:szCs w:val="16"/>
        </w:rPr>
        <w:t>, en combinación robustecimiento de los</w:t>
      </w:r>
      <w:r>
        <w:rPr>
          <w:rFonts w:cs="Arial"/>
          <w:szCs w:val="16"/>
        </w:rPr>
        <w:t xml:space="preserve"> </w:t>
      </w:r>
      <w:r w:rsidRPr="00A15053">
        <w:rPr>
          <w:rFonts w:cs="Arial"/>
          <w:szCs w:val="16"/>
        </w:rPr>
        <w:t>ingresos</w:t>
      </w:r>
      <w:r>
        <w:rPr>
          <w:rFonts w:cs="Arial"/>
          <w:szCs w:val="16"/>
        </w:rPr>
        <w:t xml:space="preserve"> </w:t>
      </w:r>
      <w:r w:rsidRPr="00A15053">
        <w:rPr>
          <w:rFonts w:cs="Arial"/>
          <w:szCs w:val="16"/>
        </w:rPr>
        <w:t xml:space="preserve">operativos (IO) y en su posición de liquidez, así como en una política conservadora de </w:t>
      </w:r>
      <w:r>
        <w:rPr>
          <w:rFonts w:cs="Arial"/>
          <w:szCs w:val="16"/>
        </w:rPr>
        <w:t>endeudamiento</w:t>
      </w:r>
      <w:r w:rsidRPr="00A15053">
        <w:rPr>
          <w:rFonts w:cs="Arial"/>
          <w:szCs w:val="16"/>
        </w:rPr>
        <w:t>.</w:t>
      </w:r>
    </w:p>
    <w:p w14:paraId="68EB51D2" w14:textId="77777777" w:rsidR="00A15053" w:rsidRDefault="00A15053" w:rsidP="00A15053">
      <w:pPr>
        <w:spacing w:after="0"/>
        <w:rPr>
          <w:rFonts w:cs="Arial"/>
          <w:szCs w:val="16"/>
        </w:rPr>
      </w:pPr>
    </w:p>
    <w:p w14:paraId="69F25506" w14:textId="1FF74785" w:rsidR="007D1E76" w:rsidRDefault="00A15053" w:rsidP="00A15053">
      <w:pPr>
        <w:spacing w:after="0"/>
        <w:jc w:val="both"/>
        <w:rPr>
          <w:rFonts w:cs="Arial"/>
          <w:szCs w:val="16"/>
        </w:rPr>
      </w:pPr>
      <w:r w:rsidRPr="00A15053">
        <w:rPr>
          <w:rFonts w:cs="Arial"/>
          <w:szCs w:val="16"/>
        </w:rPr>
        <w:t>Asimismo, la acción de calificación está respaldada por un cambio en el puntaje de la sostenibilidad de la deuda</w:t>
      </w:r>
      <w:r>
        <w:rPr>
          <w:rFonts w:cs="Arial"/>
          <w:szCs w:val="16"/>
        </w:rPr>
        <w:t xml:space="preserve"> </w:t>
      </w:r>
      <w:r w:rsidRPr="00A15053">
        <w:rPr>
          <w:rFonts w:cs="Arial"/>
          <w:szCs w:val="16"/>
        </w:rPr>
        <w:t>a ‘</w:t>
      </w:r>
      <w:proofErr w:type="spellStart"/>
      <w:r w:rsidRPr="00A15053">
        <w:rPr>
          <w:rFonts w:cs="Arial"/>
          <w:szCs w:val="16"/>
        </w:rPr>
        <w:t>aaa</w:t>
      </w:r>
      <w:proofErr w:type="spellEnd"/>
      <w:r w:rsidRPr="00A15053">
        <w:rPr>
          <w:rFonts w:cs="Arial"/>
          <w:szCs w:val="16"/>
        </w:rPr>
        <w:t>’ desde ‘</w:t>
      </w:r>
      <w:proofErr w:type="spellStart"/>
      <w:r w:rsidRPr="00A15053">
        <w:rPr>
          <w:rFonts w:cs="Arial"/>
          <w:szCs w:val="16"/>
        </w:rPr>
        <w:t>aa</w:t>
      </w:r>
      <w:proofErr w:type="spellEnd"/>
      <w:r w:rsidRPr="00A15053">
        <w:rPr>
          <w:rFonts w:cs="Arial"/>
          <w:szCs w:val="16"/>
        </w:rPr>
        <w:t>’ en combinación con un perfil de deuda en ‘Rango Medio Bajo’. La entidad compara</w:t>
      </w:r>
      <w:r w:rsidR="00025CCE">
        <w:rPr>
          <w:rFonts w:cs="Arial"/>
          <w:szCs w:val="16"/>
        </w:rPr>
        <w:t xml:space="preserve"> </w:t>
      </w:r>
      <w:r w:rsidRPr="00A15053">
        <w:rPr>
          <w:rFonts w:cs="Arial"/>
          <w:szCs w:val="16"/>
        </w:rPr>
        <w:t>favorablemente con entidades pares. La agencia no identificó factores adicionales con efecto sobre la</w:t>
      </w:r>
      <w:r>
        <w:rPr>
          <w:rFonts w:cs="Arial"/>
          <w:szCs w:val="16"/>
        </w:rPr>
        <w:t xml:space="preserve"> </w:t>
      </w:r>
      <w:r w:rsidRPr="00A15053">
        <w:rPr>
          <w:rFonts w:cs="Arial"/>
          <w:szCs w:val="16"/>
        </w:rPr>
        <w:t>calificación del Municipio.</w:t>
      </w:r>
    </w:p>
    <w:p w14:paraId="58BC0457" w14:textId="77777777" w:rsidR="00A15053" w:rsidRPr="00A15053" w:rsidRDefault="00A15053" w:rsidP="00A15053">
      <w:pPr>
        <w:spacing w:after="0"/>
        <w:jc w:val="both"/>
        <w:rPr>
          <w:rFonts w:cs="Arial"/>
          <w:szCs w:val="16"/>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5" w:name="_Toc188953074"/>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5"/>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a) Principales Políticas de control interno:</w:t>
      </w:r>
    </w:p>
    <w:p w14:paraId="1BD51D41" w14:textId="77777777" w:rsidR="007D1E76" w:rsidRDefault="007D1E76" w:rsidP="00CB41C4">
      <w:pPr>
        <w:tabs>
          <w:tab w:val="left" w:leader="underscore" w:pos="9639"/>
        </w:tabs>
        <w:spacing w:after="0" w:line="240" w:lineRule="auto"/>
        <w:jc w:val="both"/>
        <w:rPr>
          <w:rFonts w:cs="Calibri"/>
        </w:rPr>
      </w:pPr>
    </w:p>
    <w:p w14:paraId="123B7220" w14:textId="5463593E" w:rsidR="000F0656" w:rsidRPr="00D2066F" w:rsidRDefault="000F0656" w:rsidP="000F0656">
      <w:pPr>
        <w:spacing w:after="0"/>
        <w:jc w:val="both"/>
        <w:rPr>
          <w:rFonts w:cs="Calibri"/>
        </w:rPr>
      </w:pPr>
      <w:r w:rsidRPr="00D2066F">
        <w:rPr>
          <w:rFonts w:cs="Arial"/>
          <w:szCs w:val="16"/>
        </w:rPr>
        <w:t>Apego estricto a los Lineamientos Generales de Aust</w:t>
      </w:r>
      <w:r w:rsidR="00D77245">
        <w:rPr>
          <w:rFonts w:cs="Arial"/>
          <w:szCs w:val="16"/>
        </w:rPr>
        <w:t>eridad y de Control Interno 2024</w:t>
      </w:r>
      <w:r>
        <w:rPr>
          <w:rFonts w:cs="Arial"/>
          <w:szCs w:val="16"/>
        </w:rPr>
        <w:t xml:space="preserve"> y Disposiciones Administrativas vigentes.</w:t>
      </w:r>
    </w:p>
    <w:p w14:paraId="34894C28" w14:textId="77777777" w:rsidR="000F0656" w:rsidRPr="00E74967" w:rsidRDefault="000F0656" w:rsidP="00CB41C4">
      <w:pPr>
        <w:tabs>
          <w:tab w:val="left" w:leader="underscore" w:pos="9639"/>
        </w:tabs>
        <w:spacing w:after="0" w:line="240" w:lineRule="auto"/>
        <w:jc w:val="both"/>
        <w:rPr>
          <w:rFonts w:cs="Calibri"/>
        </w:rPr>
      </w:pPr>
    </w:p>
    <w:p w14:paraId="59CFF4B2" w14:textId="77777777" w:rsidR="007D1E76" w:rsidRPr="006A65AB" w:rsidRDefault="007D1E76" w:rsidP="00CB41C4">
      <w:pPr>
        <w:tabs>
          <w:tab w:val="left" w:leader="underscore" w:pos="9639"/>
        </w:tabs>
        <w:spacing w:after="0" w:line="240" w:lineRule="auto"/>
        <w:jc w:val="both"/>
        <w:rPr>
          <w:rFonts w:cs="Calibri"/>
          <w:b/>
        </w:rPr>
      </w:pPr>
      <w:r w:rsidRPr="006A65AB">
        <w:rPr>
          <w:rFonts w:cs="Calibri"/>
          <w:b/>
        </w:rPr>
        <w:t>b) Medidas de desempeño financiero, metas y alcance:</w:t>
      </w:r>
    </w:p>
    <w:p w14:paraId="1B5AEEC8" w14:textId="77777777" w:rsidR="00592A6D" w:rsidRDefault="00592A6D" w:rsidP="00D77245">
      <w:pPr>
        <w:spacing w:after="0"/>
        <w:jc w:val="both"/>
        <w:rPr>
          <w:rFonts w:cs="Arial"/>
          <w:szCs w:val="16"/>
        </w:rPr>
      </w:pPr>
    </w:p>
    <w:p w14:paraId="524E4B7B" w14:textId="74AC919B" w:rsidR="00D77245" w:rsidRPr="00D2066F" w:rsidRDefault="00D77245" w:rsidP="00D77245">
      <w:pPr>
        <w:spacing w:after="0"/>
        <w:jc w:val="both"/>
        <w:rPr>
          <w:rFonts w:cs="Calibri"/>
        </w:rPr>
      </w:pPr>
      <w:r w:rsidRPr="00D2066F">
        <w:rPr>
          <w:rFonts w:cs="Arial"/>
          <w:szCs w:val="16"/>
        </w:rPr>
        <w:t>Se considera siempre el presupuesto aprobado por el H. Ayuntamiento, para la medición del desempeño financiero, los avances de las metas y sus alcances.</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6" w:name="_Toc188953075"/>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6"/>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Default="007D1E76" w:rsidP="00CB41C4">
      <w:pPr>
        <w:tabs>
          <w:tab w:val="left" w:leader="underscore" w:pos="9639"/>
        </w:tabs>
        <w:spacing w:after="0" w:line="240" w:lineRule="auto"/>
        <w:jc w:val="both"/>
        <w:rPr>
          <w:rFonts w:cs="Calibri"/>
        </w:rPr>
      </w:pPr>
    </w:p>
    <w:p w14:paraId="67988063" w14:textId="77777777" w:rsidR="00D77245" w:rsidRPr="00D2066F" w:rsidRDefault="00D77245" w:rsidP="00D77245">
      <w:pPr>
        <w:spacing w:after="0"/>
        <w:jc w:val="both"/>
        <w:rPr>
          <w:rFonts w:cs="Calibri"/>
        </w:rPr>
      </w:pPr>
      <w:r w:rsidRPr="00D2066F">
        <w:rPr>
          <w:rFonts w:cs="Arial"/>
          <w:szCs w:val="16"/>
        </w:rPr>
        <w:t>No se maneja la emisión de la información financiera en base a segmentos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7" w:name="_Toc188953076"/>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7"/>
    </w:p>
    <w:p w14:paraId="362DF4F4" w14:textId="77777777" w:rsidR="007D1E76" w:rsidRPr="00E74967" w:rsidRDefault="007D1E76" w:rsidP="00CB41C4">
      <w:pPr>
        <w:tabs>
          <w:tab w:val="left" w:leader="underscore" w:pos="9639"/>
        </w:tabs>
        <w:spacing w:after="0" w:line="240" w:lineRule="auto"/>
        <w:jc w:val="both"/>
        <w:rPr>
          <w:rFonts w:cs="Calibri"/>
        </w:rPr>
      </w:pPr>
    </w:p>
    <w:p w14:paraId="1F33DAF4" w14:textId="2A6097C0" w:rsidR="00D77245"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268D065" w14:textId="77777777" w:rsidR="001C34BC" w:rsidRPr="00E74967" w:rsidRDefault="001C34BC" w:rsidP="001C34BC">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8" w:name="_Toc188953077"/>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8"/>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77777777" w:rsidR="007D1E76" w:rsidRDefault="007D1E76" w:rsidP="00CB41C4">
      <w:pPr>
        <w:tabs>
          <w:tab w:val="left" w:leader="underscore" w:pos="9639"/>
        </w:tabs>
        <w:spacing w:after="0" w:line="240" w:lineRule="auto"/>
        <w:jc w:val="both"/>
        <w:rPr>
          <w:rFonts w:cs="Calibri"/>
        </w:rPr>
      </w:pPr>
    </w:p>
    <w:p w14:paraId="6CD6F899" w14:textId="77777777" w:rsidR="00D77245" w:rsidRPr="00D2066F" w:rsidRDefault="00D77245" w:rsidP="00D77245">
      <w:pPr>
        <w:spacing w:after="0"/>
        <w:jc w:val="both"/>
        <w:rPr>
          <w:rFonts w:cs="Calibri"/>
        </w:rPr>
      </w:pPr>
      <w:r w:rsidRPr="00D2066F">
        <w:rPr>
          <w:rFonts w:cs="Arial"/>
          <w:szCs w:val="16"/>
        </w:rPr>
        <w:t>No existen partes relacionadas que pudieran ejercer influencia significativa sobre la toma de decisiones financieras y operativas.</w:t>
      </w:r>
    </w:p>
    <w:p w14:paraId="60C47C07" w14:textId="77777777" w:rsidR="00D77245" w:rsidRDefault="00D77245" w:rsidP="00CB41C4">
      <w:pPr>
        <w:tabs>
          <w:tab w:val="left" w:leader="underscore" w:pos="9639"/>
        </w:tabs>
        <w:spacing w:after="0" w:line="240" w:lineRule="auto"/>
        <w:jc w:val="both"/>
        <w:rPr>
          <w:rFonts w:cs="Calibri"/>
        </w:rPr>
      </w:pPr>
    </w:p>
    <w:p w14:paraId="71F90614" w14:textId="77777777" w:rsidR="006A65AB" w:rsidRDefault="006A65AB" w:rsidP="00CB41C4">
      <w:pPr>
        <w:tabs>
          <w:tab w:val="left" w:leader="underscore" w:pos="9639"/>
        </w:tabs>
        <w:spacing w:after="0" w:line="240" w:lineRule="auto"/>
        <w:jc w:val="both"/>
        <w:rPr>
          <w:rFonts w:cs="Calibri"/>
        </w:rPr>
      </w:pPr>
    </w:p>
    <w:p w14:paraId="1DFBBA85" w14:textId="77777777" w:rsidR="006A65AB" w:rsidRDefault="006A65AB" w:rsidP="00CB41C4">
      <w:pPr>
        <w:tabs>
          <w:tab w:val="left" w:leader="underscore" w:pos="9639"/>
        </w:tabs>
        <w:spacing w:after="0" w:line="240" w:lineRule="auto"/>
        <w:jc w:val="both"/>
        <w:rPr>
          <w:rFonts w:cs="Calibri"/>
        </w:rPr>
      </w:pPr>
    </w:p>
    <w:p w14:paraId="24905817" w14:textId="15CB9212" w:rsidR="007D1E76" w:rsidRPr="00E74967" w:rsidRDefault="007D1E76" w:rsidP="006A65AB">
      <w:pPr>
        <w:pStyle w:val="Ttulo2"/>
        <w:rPr>
          <w:rFonts w:cs="Calibri"/>
        </w:rPr>
      </w:pPr>
      <w:bookmarkStart w:id="19" w:name="_Toc188953078"/>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9"/>
    </w:p>
    <w:p w14:paraId="2932D01B" w14:textId="77777777" w:rsidR="006A65AB" w:rsidRDefault="006A65AB" w:rsidP="00CB41C4">
      <w:pPr>
        <w:tabs>
          <w:tab w:val="left" w:leader="underscore" w:pos="9639"/>
        </w:tabs>
        <w:spacing w:after="0" w:line="240" w:lineRule="auto"/>
        <w:jc w:val="both"/>
        <w:rPr>
          <w:rFonts w:cs="Calibri"/>
        </w:rPr>
      </w:pPr>
    </w:p>
    <w:p w14:paraId="7AD6BFD9" w14:textId="77777777" w:rsidR="006A65AB" w:rsidRDefault="006A65AB" w:rsidP="00CB41C4">
      <w:pPr>
        <w:tabs>
          <w:tab w:val="left" w:leader="underscore" w:pos="9639"/>
        </w:tabs>
        <w:spacing w:after="0" w:line="240" w:lineRule="auto"/>
        <w:jc w:val="both"/>
        <w:rPr>
          <w:rFonts w:cs="Calibri"/>
        </w:rPr>
      </w:pPr>
    </w:p>
    <w:p w14:paraId="50903296" w14:textId="1D665BA6"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74D16815" w14:textId="2901A860" w:rsidR="00D5018E" w:rsidRPr="006A65AB" w:rsidRDefault="00D5018E" w:rsidP="00CB41C4">
      <w:pPr>
        <w:tabs>
          <w:tab w:val="left" w:leader="underscore" w:pos="9639"/>
        </w:tabs>
        <w:spacing w:after="0" w:line="240" w:lineRule="auto"/>
        <w:jc w:val="both"/>
        <w:rPr>
          <w:rFonts w:asciiTheme="minorHAnsi" w:hAnsiTheme="minorHAnsi" w:cstheme="minorHAnsi"/>
        </w:rPr>
      </w:pPr>
      <w:r w:rsidRPr="006A65AB">
        <w:rPr>
          <w:rFonts w:asciiTheme="minorHAnsi" w:hAnsiTheme="minorHAnsi" w:cstheme="minorHAnsi"/>
          <w:b/>
        </w:rPr>
        <w:t>Nota 1</w:t>
      </w:r>
      <w:r w:rsidRPr="006A65AB">
        <w:rPr>
          <w:rFonts w:asciiTheme="minorHAnsi" w:hAnsiTheme="minorHAnsi" w:cstheme="minorHAnsi"/>
        </w:rPr>
        <w:t>: En cada una de las 1</w:t>
      </w:r>
      <w:r w:rsidR="005053EE" w:rsidRPr="006A65AB">
        <w:rPr>
          <w:rFonts w:asciiTheme="minorHAnsi" w:hAnsiTheme="minorHAnsi" w:cstheme="minorHAnsi"/>
        </w:rPr>
        <w:t>5</w:t>
      </w:r>
      <w:r w:rsidRPr="006A65AB">
        <w:rPr>
          <w:rFonts w:asciiTheme="minorHAnsi" w:hAnsiTheme="minorHAnsi" w:cstheme="minorHAnsi"/>
        </w:rPr>
        <w:t xml:space="preserve"> notas de gestión administrativa el ente público deberá poner la nota correspondiente o en su caso la leyenda “</w:t>
      </w:r>
      <w:r w:rsidRPr="006A65AB">
        <w:rPr>
          <w:rFonts w:asciiTheme="minorHAnsi" w:hAnsiTheme="minorHAnsi" w:cstheme="minorHAnsi"/>
          <w:b/>
          <w:bCs/>
        </w:rPr>
        <w:t>Esta nota no le aplica al ente público” y una breve explicación del motivo por el cual no le es aplicable</w:t>
      </w:r>
      <w:r w:rsidRPr="006A65AB">
        <w:rPr>
          <w:rFonts w:asciiTheme="minorHAnsi" w:hAnsiTheme="minorHAnsi" w:cstheme="minorHAnsi"/>
        </w:rPr>
        <w:t>.</w:t>
      </w:r>
      <w:r w:rsidR="000310EF" w:rsidRPr="006A65AB">
        <w:rPr>
          <w:rFonts w:asciiTheme="minorHAnsi" w:hAnsiTheme="minorHAnsi" w:cstheme="minorHAnsi"/>
        </w:rPr>
        <w:t xml:space="preserve"> 06-12-2022</w:t>
      </w:r>
    </w:p>
    <w:sectPr w:rsidR="00D5018E" w:rsidRPr="006A65AB"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76F5D" w14:textId="77777777" w:rsidR="00B86907" w:rsidRDefault="00B86907" w:rsidP="00E00323">
      <w:pPr>
        <w:spacing w:after="0" w:line="240" w:lineRule="auto"/>
      </w:pPr>
      <w:r>
        <w:separator/>
      </w:r>
    </w:p>
  </w:endnote>
  <w:endnote w:type="continuationSeparator" w:id="0">
    <w:p w14:paraId="00C9F081" w14:textId="77777777" w:rsidR="00B86907" w:rsidRDefault="00B8690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0ED0401D" w14:textId="77777777" w:rsidR="00D5630A" w:rsidRDefault="00D5630A" w:rsidP="00D5630A">
        <w:pPr>
          <w:pStyle w:val="Piedepgina"/>
        </w:pPr>
      </w:p>
      <w:tbl>
        <w:tblPr>
          <w:tblW w:w="0" w:type="auto"/>
          <w:jc w:val="center"/>
          <w:tblLook w:val="04A0" w:firstRow="1" w:lastRow="0" w:firstColumn="1" w:lastColumn="0" w:noHBand="0" w:noVBand="1"/>
        </w:tblPr>
        <w:tblGrid>
          <w:gridCol w:w="3402"/>
          <w:gridCol w:w="3050"/>
          <w:gridCol w:w="3226"/>
        </w:tblGrid>
        <w:tr w:rsidR="00D5630A" w:rsidRPr="004464E3" w14:paraId="34B920B6" w14:textId="77777777" w:rsidTr="0017100C">
          <w:trPr>
            <w:jc w:val="center"/>
          </w:trPr>
          <w:tc>
            <w:tcPr>
              <w:tcW w:w="3402" w:type="dxa"/>
            </w:tcPr>
            <w:p w14:paraId="66385839" w14:textId="77777777" w:rsidR="00D5630A" w:rsidRPr="004464E3" w:rsidRDefault="00D5630A" w:rsidP="00D5630A">
              <w:pPr>
                <w:tabs>
                  <w:tab w:val="left" w:pos="1260"/>
                </w:tabs>
                <w:spacing w:after="0"/>
                <w:jc w:val="center"/>
                <w:rPr>
                  <w:sz w:val="20"/>
                </w:rPr>
              </w:pPr>
              <w:r>
                <w:rPr>
                  <w:sz w:val="20"/>
                </w:rPr>
                <w:t>_______________________________</w:t>
              </w:r>
            </w:p>
          </w:tc>
          <w:tc>
            <w:tcPr>
              <w:tcW w:w="3050" w:type="dxa"/>
              <w:shd w:val="clear" w:color="auto" w:fill="auto"/>
            </w:tcPr>
            <w:p w14:paraId="1A9D6BAF" w14:textId="77777777" w:rsidR="00D5630A" w:rsidRPr="004464E3" w:rsidRDefault="00D5630A" w:rsidP="00D5630A">
              <w:pPr>
                <w:tabs>
                  <w:tab w:val="left" w:pos="1260"/>
                </w:tabs>
                <w:spacing w:after="0"/>
                <w:jc w:val="center"/>
                <w:rPr>
                  <w:sz w:val="20"/>
                </w:rPr>
              </w:pPr>
              <w:r>
                <w:rPr>
                  <w:sz w:val="20"/>
                </w:rPr>
                <w:t>_________________________</w:t>
              </w:r>
            </w:p>
          </w:tc>
          <w:tc>
            <w:tcPr>
              <w:tcW w:w="3226" w:type="dxa"/>
            </w:tcPr>
            <w:p w14:paraId="2438DE69" w14:textId="77777777" w:rsidR="00D5630A" w:rsidRPr="004464E3" w:rsidRDefault="00D5630A" w:rsidP="00D5630A">
              <w:pPr>
                <w:tabs>
                  <w:tab w:val="left" w:pos="1260"/>
                </w:tabs>
                <w:spacing w:after="0"/>
                <w:jc w:val="center"/>
                <w:rPr>
                  <w:sz w:val="20"/>
                </w:rPr>
              </w:pPr>
              <w:r>
                <w:rPr>
                  <w:sz w:val="20"/>
                </w:rPr>
                <w:t>_____________________________</w:t>
              </w:r>
            </w:p>
          </w:tc>
        </w:tr>
        <w:tr w:rsidR="00D5630A" w:rsidRPr="004464E3" w14:paraId="765AFD11" w14:textId="77777777" w:rsidTr="0017100C">
          <w:trPr>
            <w:jc w:val="center"/>
          </w:trPr>
          <w:tc>
            <w:tcPr>
              <w:tcW w:w="3402" w:type="dxa"/>
            </w:tcPr>
            <w:p w14:paraId="3D28B34B" w14:textId="496A4FA6" w:rsidR="00D5630A" w:rsidRPr="004464E3" w:rsidRDefault="006871CB" w:rsidP="00D5630A">
              <w:pPr>
                <w:tabs>
                  <w:tab w:val="left" w:pos="1260"/>
                </w:tabs>
                <w:spacing w:after="0" w:line="240" w:lineRule="auto"/>
                <w:jc w:val="center"/>
                <w:rPr>
                  <w:sz w:val="20"/>
                </w:rPr>
              </w:pPr>
              <w:r>
                <w:rPr>
                  <w:b/>
                  <w:bCs/>
                  <w:sz w:val="20"/>
                </w:rPr>
                <w:t>Arq. Samantha Smith Gutiérrez</w:t>
              </w:r>
            </w:p>
            <w:p w14:paraId="5D732188" w14:textId="5A124F7C" w:rsidR="00D5630A" w:rsidRPr="004464E3" w:rsidRDefault="006871CB" w:rsidP="00D5630A">
              <w:pPr>
                <w:tabs>
                  <w:tab w:val="left" w:pos="1260"/>
                </w:tabs>
                <w:spacing w:after="0" w:line="240" w:lineRule="auto"/>
                <w:jc w:val="center"/>
                <w:rPr>
                  <w:sz w:val="20"/>
                </w:rPr>
              </w:pPr>
              <w:r>
                <w:rPr>
                  <w:b/>
                  <w:bCs/>
                  <w:sz w:val="20"/>
                </w:rPr>
                <w:t>Presidenta</w:t>
              </w:r>
              <w:r w:rsidR="00D5630A">
                <w:rPr>
                  <w:b/>
                  <w:bCs/>
                  <w:sz w:val="20"/>
                </w:rPr>
                <w:t xml:space="preserve"> Municipal</w:t>
              </w:r>
            </w:p>
          </w:tc>
          <w:tc>
            <w:tcPr>
              <w:tcW w:w="3050" w:type="dxa"/>
            </w:tcPr>
            <w:p w14:paraId="24DA3DB8" w14:textId="78C10E10" w:rsidR="00D5630A" w:rsidRDefault="006871CB" w:rsidP="00D5630A">
              <w:pPr>
                <w:tabs>
                  <w:tab w:val="left" w:pos="1260"/>
                </w:tabs>
                <w:spacing w:after="0" w:line="240" w:lineRule="auto"/>
                <w:jc w:val="center"/>
                <w:rPr>
                  <w:b/>
                  <w:bCs/>
                  <w:sz w:val="20"/>
                </w:rPr>
              </w:pPr>
              <w:r>
                <w:rPr>
                  <w:b/>
                  <w:bCs/>
                  <w:sz w:val="20"/>
                </w:rPr>
                <w:t>Lic</w:t>
              </w:r>
              <w:r w:rsidR="00BE1EC4">
                <w:rPr>
                  <w:b/>
                  <w:bCs/>
                  <w:sz w:val="20"/>
                </w:rPr>
                <w:t>. Ángel Ernesto Araujo Betanzos</w:t>
              </w:r>
              <w:r w:rsidR="00D5630A">
                <w:rPr>
                  <w:b/>
                  <w:bCs/>
                  <w:sz w:val="20"/>
                </w:rPr>
                <w:t xml:space="preserve"> </w:t>
              </w:r>
            </w:p>
            <w:p w14:paraId="637E711E" w14:textId="279A6302" w:rsidR="00D5630A" w:rsidRPr="004464E3" w:rsidRDefault="00BE1EC4" w:rsidP="00D5630A">
              <w:pPr>
                <w:tabs>
                  <w:tab w:val="left" w:pos="1260"/>
                </w:tabs>
                <w:spacing w:after="0" w:line="240" w:lineRule="auto"/>
                <w:jc w:val="center"/>
                <w:rPr>
                  <w:sz w:val="20"/>
                </w:rPr>
              </w:pPr>
              <w:r>
                <w:rPr>
                  <w:b/>
                  <w:bCs/>
                  <w:sz w:val="20"/>
                </w:rPr>
                <w:t>Síndico</w:t>
              </w:r>
              <w:r w:rsidR="00D5630A" w:rsidRPr="004464E3">
                <w:rPr>
                  <w:b/>
                  <w:bCs/>
                  <w:sz w:val="20"/>
                </w:rPr>
                <w:t xml:space="preserve"> del H. Ayuntamiento</w:t>
              </w:r>
            </w:p>
          </w:tc>
          <w:tc>
            <w:tcPr>
              <w:tcW w:w="3226" w:type="dxa"/>
            </w:tcPr>
            <w:p w14:paraId="04C66B5C" w14:textId="77777777" w:rsidR="00D5630A" w:rsidRPr="004464E3" w:rsidRDefault="00D5630A" w:rsidP="00D5630A">
              <w:pPr>
                <w:tabs>
                  <w:tab w:val="left" w:pos="1260"/>
                </w:tabs>
                <w:spacing w:after="0" w:line="240" w:lineRule="auto"/>
                <w:jc w:val="center"/>
                <w:rPr>
                  <w:sz w:val="20"/>
                </w:rPr>
              </w:pPr>
              <w:r>
                <w:rPr>
                  <w:b/>
                  <w:bCs/>
                  <w:sz w:val="20"/>
                </w:rPr>
                <w:t>C.P. Irma Mandujano García</w:t>
              </w:r>
            </w:p>
            <w:p w14:paraId="4B116BA2" w14:textId="77777777" w:rsidR="00D5630A" w:rsidRPr="004464E3" w:rsidRDefault="00D5630A" w:rsidP="00D5630A">
              <w:pPr>
                <w:tabs>
                  <w:tab w:val="left" w:pos="1260"/>
                </w:tabs>
                <w:spacing w:after="0" w:line="240" w:lineRule="auto"/>
                <w:jc w:val="center"/>
                <w:rPr>
                  <w:sz w:val="20"/>
                </w:rPr>
              </w:pPr>
              <w:r>
                <w:rPr>
                  <w:b/>
                  <w:bCs/>
                  <w:sz w:val="20"/>
                </w:rPr>
                <w:t>Tesorera</w:t>
              </w:r>
              <w:r w:rsidRPr="004464E3">
                <w:rPr>
                  <w:b/>
                  <w:bCs/>
                  <w:sz w:val="20"/>
                </w:rPr>
                <w:t xml:space="preserve"> Municipal</w:t>
              </w:r>
            </w:p>
          </w:tc>
        </w:tr>
      </w:tbl>
      <w:p w14:paraId="1BAB5F80" w14:textId="77777777" w:rsidR="00D5630A" w:rsidRPr="00EA6E8C" w:rsidRDefault="00D5630A" w:rsidP="00D5630A">
        <w:pPr>
          <w:tabs>
            <w:tab w:val="left" w:pos="1260"/>
          </w:tabs>
          <w:spacing w:after="0"/>
          <w:rPr>
            <w:b/>
            <w:i/>
            <w:sz w:val="16"/>
          </w:rPr>
        </w:pPr>
      </w:p>
      <w:p w14:paraId="187B81C0" w14:textId="77777777" w:rsidR="00D5630A" w:rsidRPr="00F71996" w:rsidRDefault="00D5630A" w:rsidP="00D5630A">
        <w:pPr>
          <w:tabs>
            <w:tab w:val="left" w:pos="1260"/>
          </w:tabs>
          <w:spacing w:after="0" w:line="240" w:lineRule="auto"/>
          <w:rPr>
            <w:b/>
            <w:i/>
            <w:sz w:val="16"/>
          </w:rPr>
        </w:pPr>
        <w:r w:rsidRPr="00EA6E8C">
          <w:rPr>
            <w:b/>
            <w:i/>
            <w:sz w:val="16"/>
          </w:rPr>
          <w:t>Bajo protesta de decir verdad declaramos que los Estados Financieros y sus notas, son razonablemente correctos y son responsabilidad del emisor.</w:t>
        </w:r>
      </w:p>
      <w:p w14:paraId="552D6AD4" w14:textId="77777777" w:rsidR="00D5630A" w:rsidRDefault="00D5630A" w:rsidP="00D5630A">
        <w:pPr>
          <w:pStyle w:val="Piedepgina"/>
          <w:jc w:val="center"/>
        </w:pPr>
        <w:r>
          <w:t xml:space="preserve">Página </w:t>
        </w:r>
        <w:sdt>
          <w:sdtPr>
            <w:id w:val="1099296862"/>
            <w:docPartObj>
              <w:docPartGallery w:val="Page Numbers (Bottom of Page)"/>
              <w:docPartUnique/>
            </w:docPartObj>
          </w:sdtPr>
          <w:sdtEndPr/>
          <w:sdtContent>
            <w:r>
              <w:fldChar w:fldCharType="begin"/>
            </w:r>
            <w:r>
              <w:instrText>PAGE   \* MERGEFORMAT</w:instrText>
            </w:r>
            <w:r>
              <w:fldChar w:fldCharType="separate"/>
            </w:r>
            <w:r w:rsidR="005B478F" w:rsidRPr="005B478F">
              <w:rPr>
                <w:noProof/>
                <w:lang w:val="es-ES"/>
              </w:rPr>
              <w:t>20</w:t>
            </w:r>
            <w:r>
              <w:fldChar w:fldCharType="end"/>
            </w:r>
          </w:sdtContent>
        </w:sdt>
      </w:p>
      <w:p w14:paraId="45A1378E" w14:textId="177F6EF4" w:rsidR="0012405A" w:rsidRDefault="00B86907" w:rsidP="00D5630A">
        <w:pPr>
          <w:pStyle w:val="Piedepgina"/>
        </w:pP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61EB8" w14:textId="77777777" w:rsidR="00B86907" w:rsidRDefault="00B86907" w:rsidP="00E00323">
      <w:pPr>
        <w:spacing w:after="0" w:line="240" w:lineRule="auto"/>
      </w:pPr>
      <w:r>
        <w:separator/>
      </w:r>
    </w:p>
  </w:footnote>
  <w:footnote w:type="continuationSeparator" w:id="0">
    <w:p w14:paraId="0EFA6475" w14:textId="77777777" w:rsidR="00B86907" w:rsidRDefault="00B86907"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D2B7F" w14:textId="3D696F8A" w:rsidR="001771DF" w:rsidRPr="004464E3" w:rsidRDefault="008D73FA" w:rsidP="00BA34B4">
    <w:pPr>
      <w:pStyle w:val="Encabezado"/>
      <w:tabs>
        <w:tab w:val="left" w:pos="672"/>
        <w:tab w:val="left" w:pos="2988"/>
        <w:tab w:val="center" w:pos="4844"/>
      </w:tabs>
      <w:spacing w:after="0" w:line="240" w:lineRule="auto"/>
      <w:jc w:val="center"/>
      <w:rPr>
        <w:b/>
      </w:rPr>
    </w:pPr>
    <w:r>
      <w:rPr>
        <w:noProof/>
        <w:lang w:eastAsia="es-MX"/>
      </w:rPr>
      <w:drawing>
        <wp:anchor distT="0" distB="0" distL="114300" distR="114300" simplePos="0" relativeHeight="251659264" behindDoc="1" locked="0" layoutInCell="1" allowOverlap="1" wp14:anchorId="10E8D0B6" wp14:editId="72CF1348">
          <wp:simplePos x="0" y="0"/>
          <wp:positionH relativeFrom="margin">
            <wp:align>left</wp:align>
          </wp:positionH>
          <wp:positionV relativeFrom="paragraph">
            <wp:posOffset>-125730</wp:posOffset>
          </wp:positionV>
          <wp:extent cx="619125" cy="571162"/>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0829" t="10805" r="34494" b="18302"/>
                  <a:stretch/>
                </pic:blipFill>
                <pic:spPr bwMode="auto">
                  <a:xfrm>
                    <a:off x="0" y="0"/>
                    <a:ext cx="647340" cy="5971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71DF" w:rsidRPr="004464E3">
      <w:rPr>
        <w:b/>
      </w:rPr>
      <w:t>MUNICIPIO DE GUANAJUATO</w:t>
    </w:r>
  </w:p>
  <w:p w14:paraId="3ABAAE62" w14:textId="26EE385D" w:rsidR="001771DF" w:rsidRDefault="008D73FA" w:rsidP="008D73FA">
    <w:pPr>
      <w:pStyle w:val="Encabezado"/>
      <w:tabs>
        <w:tab w:val="left" w:pos="495"/>
        <w:tab w:val="left" w:pos="672"/>
        <w:tab w:val="center" w:pos="4844"/>
      </w:tabs>
      <w:spacing w:after="0" w:line="240" w:lineRule="auto"/>
      <w:rPr>
        <w:b/>
      </w:rPr>
    </w:pPr>
    <w:r>
      <w:rPr>
        <w:b/>
      </w:rPr>
      <w:tab/>
    </w:r>
    <w:r>
      <w:rPr>
        <w:b/>
      </w:rPr>
      <w:tab/>
    </w:r>
    <w:r>
      <w:rPr>
        <w:b/>
      </w:rPr>
      <w:tab/>
    </w:r>
    <w:r w:rsidR="001771DF" w:rsidRPr="004464E3">
      <w:rPr>
        <w:b/>
      </w:rPr>
      <w:t>CORRESPONDI</w:t>
    </w:r>
    <w:r w:rsidR="00BD5F2D">
      <w:rPr>
        <w:b/>
      </w:rPr>
      <w:t>ENTES AL 31 DE DICIEM</w:t>
    </w:r>
    <w:r w:rsidR="006871CB">
      <w:rPr>
        <w:b/>
      </w:rPr>
      <w:t>BRE</w:t>
    </w:r>
    <w:r w:rsidR="00C91A7D">
      <w:rPr>
        <w:b/>
      </w:rPr>
      <w:t xml:space="preserve"> </w:t>
    </w:r>
    <w:r w:rsidR="001771DF">
      <w:rPr>
        <w:b/>
      </w:rPr>
      <w:t>DE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60D22"/>
    <w:multiLevelType w:val="hybridMultilevel"/>
    <w:tmpl w:val="23306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7F4FE1"/>
    <w:multiLevelType w:val="hybridMultilevel"/>
    <w:tmpl w:val="48124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D16D7D"/>
    <w:multiLevelType w:val="multilevel"/>
    <w:tmpl w:val="34A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32C13"/>
    <w:multiLevelType w:val="hybridMultilevel"/>
    <w:tmpl w:val="212AD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71A78E2"/>
    <w:multiLevelType w:val="hybridMultilevel"/>
    <w:tmpl w:val="8F30A636"/>
    <w:lvl w:ilvl="0" w:tplc="924624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94A6E85"/>
    <w:multiLevelType w:val="hybridMultilevel"/>
    <w:tmpl w:val="7842F8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5CCE"/>
    <w:rsid w:val="00030413"/>
    <w:rsid w:val="000310EF"/>
    <w:rsid w:val="00040D4F"/>
    <w:rsid w:val="000722D8"/>
    <w:rsid w:val="00084EAE"/>
    <w:rsid w:val="00091CE6"/>
    <w:rsid w:val="000B7810"/>
    <w:rsid w:val="000C3365"/>
    <w:rsid w:val="000C6F34"/>
    <w:rsid w:val="000E2B39"/>
    <w:rsid w:val="000E4C3A"/>
    <w:rsid w:val="000F0656"/>
    <w:rsid w:val="00106EE9"/>
    <w:rsid w:val="0012405A"/>
    <w:rsid w:val="0012493A"/>
    <w:rsid w:val="00154BA3"/>
    <w:rsid w:val="0016736C"/>
    <w:rsid w:val="001771DF"/>
    <w:rsid w:val="001973A2"/>
    <w:rsid w:val="001A004E"/>
    <w:rsid w:val="001C34BC"/>
    <w:rsid w:val="001C710C"/>
    <w:rsid w:val="001C75F2"/>
    <w:rsid w:val="001D2063"/>
    <w:rsid w:val="001D43E9"/>
    <w:rsid w:val="001E1EDE"/>
    <w:rsid w:val="00231FBE"/>
    <w:rsid w:val="00232175"/>
    <w:rsid w:val="0024740E"/>
    <w:rsid w:val="00261A4A"/>
    <w:rsid w:val="002722DD"/>
    <w:rsid w:val="0029578B"/>
    <w:rsid w:val="00295B72"/>
    <w:rsid w:val="002A1D5B"/>
    <w:rsid w:val="002E1F53"/>
    <w:rsid w:val="002F79A2"/>
    <w:rsid w:val="00310C5E"/>
    <w:rsid w:val="003453CA"/>
    <w:rsid w:val="00396D53"/>
    <w:rsid w:val="003E6C64"/>
    <w:rsid w:val="0043078C"/>
    <w:rsid w:val="0043484C"/>
    <w:rsid w:val="00435A87"/>
    <w:rsid w:val="004620C5"/>
    <w:rsid w:val="0048723B"/>
    <w:rsid w:val="004928EA"/>
    <w:rsid w:val="004A1077"/>
    <w:rsid w:val="004A3659"/>
    <w:rsid w:val="004A58C8"/>
    <w:rsid w:val="004C63B1"/>
    <w:rsid w:val="004D77BE"/>
    <w:rsid w:val="004F234D"/>
    <w:rsid w:val="004F6FAC"/>
    <w:rsid w:val="00504B51"/>
    <w:rsid w:val="005053EE"/>
    <w:rsid w:val="00516100"/>
    <w:rsid w:val="00516A8F"/>
    <w:rsid w:val="00516E2E"/>
    <w:rsid w:val="00540261"/>
    <w:rsid w:val="0054701E"/>
    <w:rsid w:val="0057148C"/>
    <w:rsid w:val="0058492E"/>
    <w:rsid w:val="00592A6D"/>
    <w:rsid w:val="005A651E"/>
    <w:rsid w:val="005B478F"/>
    <w:rsid w:val="005B5531"/>
    <w:rsid w:val="005D3E43"/>
    <w:rsid w:val="005E231E"/>
    <w:rsid w:val="005F2900"/>
    <w:rsid w:val="005F51CC"/>
    <w:rsid w:val="0064059E"/>
    <w:rsid w:val="00654F1D"/>
    <w:rsid w:val="00657009"/>
    <w:rsid w:val="00673F8C"/>
    <w:rsid w:val="00681682"/>
    <w:rsid w:val="00681C79"/>
    <w:rsid w:val="006871CB"/>
    <w:rsid w:val="006A65AB"/>
    <w:rsid w:val="006B0836"/>
    <w:rsid w:val="006B1ADF"/>
    <w:rsid w:val="006B5FE1"/>
    <w:rsid w:val="006C1127"/>
    <w:rsid w:val="006F0687"/>
    <w:rsid w:val="006F77A8"/>
    <w:rsid w:val="00726802"/>
    <w:rsid w:val="00747A3B"/>
    <w:rsid w:val="00751251"/>
    <w:rsid w:val="007610BC"/>
    <w:rsid w:val="00761960"/>
    <w:rsid w:val="007714AB"/>
    <w:rsid w:val="00794EC0"/>
    <w:rsid w:val="007D1E76"/>
    <w:rsid w:val="007D4484"/>
    <w:rsid w:val="007E38A2"/>
    <w:rsid w:val="007E3F3E"/>
    <w:rsid w:val="007F699D"/>
    <w:rsid w:val="00806269"/>
    <w:rsid w:val="00806C98"/>
    <w:rsid w:val="00837E88"/>
    <w:rsid w:val="00854ADF"/>
    <w:rsid w:val="0086420E"/>
    <w:rsid w:val="0086459F"/>
    <w:rsid w:val="00881E50"/>
    <w:rsid w:val="00891A96"/>
    <w:rsid w:val="008C3BB8"/>
    <w:rsid w:val="008D73FA"/>
    <w:rsid w:val="008E076C"/>
    <w:rsid w:val="00917839"/>
    <w:rsid w:val="0092765C"/>
    <w:rsid w:val="00967DDA"/>
    <w:rsid w:val="009736CB"/>
    <w:rsid w:val="00A1081E"/>
    <w:rsid w:val="00A1248E"/>
    <w:rsid w:val="00A15053"/>
    <w:rsid w:val="00A20D60"/>
    <w:rsid w:val="00A4610E"/>
    <w:rsid w:val="00A6346D"/>
    <w:rsid w:val="00A730E0"/>
    <w:rsid w:val="00A90973"/>
    <w:rsid w:val="00AA2768"/>
    <w:rsid w:val="00AA41E5"/>
    <w:rsid w:val="00AB4AA1"/>
    <w:rsid w:val="00AB722B"/>
    <w:rsid w:val="00AE1F6A"/>
    <w:rsid w:val="00AF4375"/>
    <w:rsid w:val="00B073DE"/>
    <w:rsid w:val="00B6368B"/>
    <w:rsid w:val="00B86907"/>
    <w:rsid w:val="00BA34B4"/>
    <w:rsid w:val="00BA53FE"/>
    <w:rsid w:val="00BB7FDF"/>
    <w:rsid w:val="00BC4C6B"/>
    <w:rsid w:val="00BD451A"/>
    <w:rsid w:val="00BD5F2D"/>
    <w:rsid w:val="00BE02EB"/>
    <w:rsid w:val="00BE1EC4"/>
    <w:rsid w:val="00BF1337"/>
    <w:rsid w:val="00C4250B"/>
    <w:rsid w:val="00C4625D"/>
    <w:rsid w:val="00C54C12"/>
    <w:rsid w:val="00C67E8E"/>
    <w:rsid w:val="00C91A7D"/>
    <w:rsid w:val="00C93C67"/>
    <w:rsid w:val="00C97E1E"/>
    <w:rsid w:val="00CA32EA"/>
    <w:rsid w:val="00CB41C4"/>
    <w:rsid w:val="00CD499A"/>
    <w:rsid w:val="00CF1316"/>
    <w:rsid w:val="00D13C44"/>
    <w:rsid w:val="00D32331"/>
    <w:rsid w:val="00D40FC2"/>
    <w:rsid w:val="00D5018E"/>
    <w:rsid w:val="00D546B2"/>
    <w:rsid w:val="00D5630A"/>
    <w:rsid w:val="00D77245"/>
    <w:rsid w:val="00D81C6C"/>
    <w:rsid w:val="00D84CC2"/>
    <w:rsid w:val="00D8648E"/>
    <w:rsid w:val="00D90479"/>
    <w:rsid w:val="00D975B1"/>
    <w:rsid w:val="00DD018C"/>
    <w:rsid w:val="00E00323"/>
    <w:rsid w:val="00E11758"/>
    <w:rsid w:val="00E16610"/>
    <w:rsid w:val="00E352CB"/>
    <w:rsid w:val="00E74967"/>
    <w:rsid w:val="00E7559F"/>
    <w:rsid w:val="00E85520"/>
    <w:rsid w:val="00E9132F"/>
    <w:rsid w:val="00EA37F5"/>
    <w:rsid w:val="00EA7915"/>
    <w:rsid w:val="00EC077C"/>
    <w:rsid w:val="00ED7AA0"/>
    <w:rsid w:val="00F067C8"/>
    <w:rsid w:val="00F4110D"/>
    <w:rsid w:val="00F43AC5"/>
    <w:rsid w:val="00F46719"/>
    <w:rsid w:val="00F54F6F"/>
    <w:rsid w:val="00F60DC2"/>
    <w:rsid w:val="00F6102D"/>
    <w:rsid w:val="00F65A92"/>
    <w:rsid w:val="00F6759B"/>
    <w:rsid w:val="00F92F58"/>
    <w:rsid w:val="00FA067D"/>
    <w:rsid w:val="00FC1AE8"/>
    <w:rsid w:val="00FC36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1771DF"/>
    <w:rPr>
      <w:sz w:val="22"/>
      <w:szCs w:val="22"/>
      <w:lang w:eastAsia="en-US"/>
    </w:rPr>
  </w:style>
  <w:style w:type="paragraph" w:customStyle="1" w:styleId="Default">
    <w:name w:val="Default"/>
    <w:rsid w:val="002F79A2"/>
    <w:pPr>
      <w:autoSpaceDE w:val="0"/>
      <w:autoSpaceDN w:val="0"/>
      <w:adjustRightInd w:val="0"/>
    </w:pPr>
    <w:rPr>
      <w:rFonts w:ascii="Arial" w:hAnsi="Arial" w:cs="Arial"/>
      <w:color w:val="000000"/>
      <w:sz w:val="24"/>
      <w:szCs w:val="24"/>
    </w:rPr>
  </w:style>
  <w:style w:type="paragraph" w:customStyle="1" w:styleId="Estndar">
    <w:name w:val="Estándar"/>
    <w:rsid w:val="00C91A7D"/>
    <w:rPr>
      <w:rFonts w:ascii="Times New Roman" w:eastAsia="Times New Roman" w:hAnsi="Times New Roman"/>
      <w:snapToGrid w:val="0"/>
      <w:color w:val="000000"/>
      <w:sz w:val="24"/>
      <w:lang w:val="es-ES" w:eastAsia="es-ES"/>
    </w:rPr>
  </w:style>
  <w:style w:type="character" w:customStyle="1" w:styleId="UnresolvedMention">
    <w:name w:val="Unresolved Mention"/>
    <w:basedOn w:val="Fuentedeprrafopredeter"/>
    <w:uiPriority w:val="99"/>
    <w:semiHidden/>
    <w:unhideWhenUsed/>
    <w:rsid w:val="002E1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4345">
      <w:bodyDiv w:val="1"/>
      <w:marLeft w:val="0"/>
      <w:marRight w:val="0"/>
      <w:marTop w:val="0"/>
      <w:marBottom w:val="0"/>
      <w:divBdr>
        <w:top w:val="none" w:sz="0" w:space="0" w:color="auto"/>
        <w:left w:val="none" w:sz="0" w:space="0" w:color="auto"/>
        <w:bottom w:val="none" w:sz="0" w:space="0" w:color="auto"/>
        <w:right w:val="none" w:sz="0" w:space="0" w:color="auto"/>
      </w:divBdr>
    </w:div>
    <w:div w:id="360205097">
      <w:bodyDiv w:val="1"/>
      <w:marLeft w:val="0"/>
      <w:marRight w:val="0"/>
      <w:marTop w:val="0"/>
      <w:marBottom w:val="0"/>
      <w:divBdr>
        <w:top w:val="none" w:sz="0" w:space="0" w:color="auto"/>
        <w:left w:val="none" w:sz="0" w:space="0" w:color="auto"/>
        <w:bottom w:val="none" w:sz="0" w:space="0" w:color="auto"/>
        <w:right w:val="none" w:sz="0" w:space="0" w:color="auto"/>
      </w:divBdr>
    </w:div>
    <w:div w:id="1125730594">
      <w:bodyDiv w:val="1"/>
      <w:marLeft w:val="0"/>
      <w:marRight w:val="0"/>
      <w:marTop w:val="0"/>
      <w:marBottom w:val="0"/>
      <w:divBdr>
        <w:top w:val="none" w:sz="0" w:space="0" w:color="auto"/>
        <w:left w:val="none" w:sz="0" w:space="0" w:color="auto"/>
        <w:bottom w:val="none" w:sz="0" w:space="0" w:color="auto"/>
        <w:right w:val="none" w:sz="0" w:space="0" w:color="auto"/>
      </w:divBdr>
    </w:div>
    <w:div w:id="1147627248">
      <w:bodyDiv w:val="1"/>
      <w:marLeft w:val="0"/>
      <w:marRight w:val="0"/>
      <w:marTop w:val="0"/>
      <w:marBottom w:val="0"/>
      <w:divBdr>
        <w:top w:val="none" w:sz="0" w:space="0" w:color="auto"/>
        <w:left w:val="none" w:sz="0" w:space="0" w:color="auto"/>
        <w:bottom w:val="none" w:sz="0" w:space="0" w:color="auto"/>
        <w:right w:val="none" w:sz="0" w:space="0" w:color="auto"/>
      </w:divBdr>
    </w:div>
    <w:div w:id="1168129704">
      <w:bodyDiv w:val="1"/>
      <w:marLeft w:val="0"/>
      <w:marRight w:val="0"/>
      <w:marTop w:val="0"/>
      <w:marBottom w:val="0"/>
      <w:divBdr>
        <w:top w:val="none" w:sz="0" w:space="0" w:color="auto"/>
        <w:left w:val="none" w:sz="0" w:space="0" w:color="auto"/>
        <w:bottom w:val="none" w:sz="0" w:space="0" w:color="auto"/>
        <w:right w:val="none" w:sz="0" w:space="0" w:color="auto"/>
      </w:divBdr>
    </w:div>
    <w:div w:id="1303733616">
      <w:bodyDiv w:val="1"/>
      <w:marLeft w:val="0"/>
      <w:marRight w:val="0"/>
      <w:marTop w:val="0"/>
      <w:marBottom w:val="0"/>
      <w:divBdr>
        <w:top w:val="none" w:sz="0" w:space="0" w:color="auto"/>
        <w:left w:val="none" w:sz="0" w:space="0" w:color="auto"/>
        <w:bottom w:val="none" w:sz="0" w:space="0" w:color="auto"/>
        <w:right w:val="none" w:sz="0" w:space="0" w:color="auto"/>
      </w:divBdr>
    </w:div>
    <w:div w:id="1430466131">
      <w:bodyDiv w:val="1"/>
      <w:marLeft w:val="0"/>
      <w:marRight w:val="0"/>
      <w:marTop w:val="0"/>
      <w:marBottom w:val="0"/>
      <w:divBdr>
        <w:top w:val="none" w:sz="0" w:space="0" w:color="auto"/>
        <w:left w:val="none" w:sz="0" w:space="0" w:color="auto"/>
        <w:bottom w:val="none" w:sz="0" w:space="0" w:color="auto"/>
        <w:right w:val="none" w:sz="0" w:space="0" w:color="auto"/>
      </w:divBdr>
    </w:div>
    <w:div w:id="1516531219">
      <w:bodyDiv w:val="1"/>
      <w:marLeft w:val="0"/>
      <w:marRight w:val="0"/>
      <w:marTop w:val="0"/>
      <w:marBottom w:val="0"/>
      <w:divBdr>
        <w:top w:val="none" w:sz="0" w:space="0" w:color="auto"/>
        <w:left w:val="none" w:sz="0" w:space="0" w:color="auto"/>
        <w:bottom w:val="none" w:sz="0" w:space="0" w:color="auto"/>
        <w:right w:val="none" w:sz="0" w:space="0" w:color="auto"/>
      </w:divBdr>
    </w:div>
    <w:div w:id="1627203337">
      <w:bodyDiv w:val="1"/>
      <w:marLeft w:val="0"/>
      <w:marRight w:val="0"/>
      <w:marTop w:val="0"/>
      <w:marBottom w:val="0"/>
      <w:divBdr>
        <w:top w:val="none" w:sz="0" w:space="0" w:color="auto"/>
        <w:left w:val="none" w:sz="0" w:space="0" w:color="auto"/>
        <w:bottom w:val="none" w:sz="0" w:space="0" w:color="auto"/>
        <w:right w:val="none" w:sz="0" w:space="0" w:color="auto"/>
      </w:divBdr>
    </w:div>
    <w:div w:id="164312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eval.org.mx/SalaPrensa/Comunicadosprensa/Documents/2024/Comunicado_11_ITLP_2T_2024.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A9936-13D9-4A9E-B2A4-C40FA2C8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20</Pages>
  <Words>4439</Words>
  <Characters>24415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28797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DF-15685</cp:lastModifiedBy>
  <cp:revision>14</cp:revision>
  <cp:lastPrinted>2024-10-25T21:58:00Z</cp:lastPrinted>
  <dcterms:created xsi:type="dcterms:W3CDTF">2024-10-18T20:30:00Z</dcterms:created>
  <dcterms:modified xsi:type="dcterms:W3CDTF">2025-01-28T16:37:00Z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