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2F65D88B" w14:textId="77777777" w:rsidR="007D1E76" w:rsidRDefault="007D1E76" w:rsidP="00CB41C4">
      <w:pPr>
        <w:tabs>
          <w:tab w:val="left" w:leader="underscore" w:pos="9639"/>
        </w:tabs>
        <w:spacing w:after="0" w:line="240" w:lineRule="auto"/>
        <w:jc w:val="both"/>
        <w:rPr>
          <w:rFonts w:cs="Calibri"/>
        </w:rPr>
      </w:pPr>
    </w:p>
    <w:p w14:paraId="6EDF4356" w14:textId="77777777" w:rsidR="004C63B1" w:rsidRPr="00E74967" w:rsidRDefault="004C63B1"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3F5C2D46" w:rsidR="007D1E76" w:rsidRPr="00E74967" w:rsidRDefault="001771DF" w:rsidP="001771DF">
      <w:pPr>
        <w:tabs>
          <w:tab w:val="left" w:pos="6540"/>
        </w:tabs>
        <w:spacing w:after="0" w:line="240" w:lineRule="auto"/>
        <w:jc w:val="both"/>
        <w:rPr>
          <w:rFonts w:cs="Calibri"/>
        </w:rPr>
      </w:pPr>
      <w:r>
        <w:rPr>
          <w:rFonts w:cs="Calibri"/>
        </w:rPr>
        <w:tab/>
      </w: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611C2111" w14:textId="12011101" w:rsidR="00A65256"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96465377" w:history="1">
            <w:r w:rsidR="00A65256" w:rsidRPr="005D0B48">
              <w:rPr>
                <w:rStyle w:val="Hipervnculo"/>
                <w:rFonts w:cstheme="minorHAnsi"/>
                <w:b/>
                <w:noProof/>
              </w:rPr>
              <w:t>1. Autorización e Historia:</w:t>
            </w:r>
            <w:r w:rsidR="00A65256">
              <w:rPr>
                <w:noProof/>
                <w:webHidden/>
              </w:rPr>
              <w:tab/>
            </w:r>
            <w:r w:rsidR="00A65256">
              <w:rPr>
                <w:noProof/>
                <w:webHidden/>
              </w:rPr>
              <w:fldChar w:fldCharType="begin"/>
            </w:r>
            <w:r w:rsidR="00A65256">
              <w:rPr>
                <w:noProof/>
                <w:webHidden/>
              </w:rPr>
              <w:instrText xml:space="preserve"> PAGEREF _Toc196465377 \h </w:instrText>
            </w:r>
            <w:r w:rsidR="00A65256">
              <w:rPr>
                <w:noProof/>
                <w:webHidden/>
              </w:rPr>
            </w:r>
            <w:r w:rsidR="00A65256">
              <w:rPr>
                <w:noProof/>
                <w:webHidden/>
              </w:rPr>
              <w:fldChar w:fldCharType="separate"/>
            </w:r>
            <w:r w:rsidR="00A65256">
              <w:rPr>
                <w:noProof/>
                <w:webHidden/>
              </w:rPr>
              <w:t>2</w:t>
            </w:r>
            <w:r w:rsidR="00A65256">
              <w:rPr>
                <w:noProof/>
                <w:webHidden/>
              </w:rPr>
              <w:fldChar w:fldCharType="end"/>
            </w:r>
          </w:hyperlink>
        </w:p>
        <w:p w14:paraId="0F2D7D65" w14:textId="5F6C524C" w:rsidR="00A65256" w:rsidRDefault="00A6525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96465378" w:history="1">
            <w:r w:rsidRPr="005D0B48">
              <w:rPr>
                <w:rStyle w:val="Hipervnculo"/>
                <w:rFonts w:cstheme="minorHAnsi"/>
                <w:b/>
                <w:noProof/>
              </w:rPr>
              <w:t>2. Describir el panorama Económico y Financiero</w:t>
            </w:r>
            <w:r>
              <w:rPr>
                <w:noProof/>
                <w:webHidden/>
              </w:rPr>
              <w:tab/>
            </w:r>
            <w:r>
              <w:rPr>
                <w:noProof/>
                <w:webHidden/>
              </w:rPr>
              <w:fldChar w:fldCharType="begin"/>
            </w:r>
            <w:r>
              <w:rPr>
                <w:noProof/>
                <w:webHidden/>
              </w:rPr>
              <w:instrText xml:space="preserve"> PAGEREF _Toc196465378 \h </w:instrText>
            </w:r>
            <w:r>
              <w:rPr>
                <w:noProof/>
                <w:webHidden/>
              </w:rPr>
            </w:r>
            <w:r>
              <w:rPr>
                <w:noProof/>
                <w:webHidden/>
              </w:rPr>
              <w:fldChar w:fldCharType="separate"/>
            </w:r>
            <w:r>
              <w:rPr>
                <w:noProof/>
                <w:webHidden/>
              </w:rPr>
              <w:t>2</w:t>
            </w:r>
            <w:r>
              <w:rPr>
                <w:noProof/>
                <w:webHidden/>
              </w:rPr>
              <w:fldChar w:fldCharType="end"/>
            </w:r>
          </w:hyperlink>
        </w:p>
        <w:p w14:paraId="5F30349A" w14:textId="1E515B4C" w:rsidR="00A65256" w:rsidRDefault="00A6525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96465379" w:history="1">
            <w:r w:rsidRPr="005D0B4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_Toc196465379 \h </w:instrText>
            </w:r>
            <w:r>
              <w:rPr>
                <w:noProof/>
                <w:webHidden/>
              </w:rPr>
            </w:r>
            <w:r>
              <w:rPr>
                <w:noProof/>
                <w:webHidden/>
              </w:rPr>
              <w:fldChar w:fldCharType="separate"/>
            </w:r>
            <w:r>
              <w:rPr>
                <w:noProof/>
                <w:webHidden/>
              </w:rPr>
              <w:t>4</w:t>
            </w:r>
            <w:r>
              <w:rPr>
                <w:noProof/>
                <w:webHidden/>
              </w:rPr>
              <w:fldChar w:fldCharType="end"/>
            </w:r>
          </w:hyperlink>
        </w:p>
        <w:p w14:paraId="575ED887" w14:textId="4B4F5463" w:rsidR="00A65256" w:rsidRDefault="00A6525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96465380" w:history="1">
            <w:r w:rsidRPr="005D0B4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_Toc196465380 \h </w:instrText>
            </w:r>
            <w:r>
              <w:rPr>
                <w:noProof/>
                <w:webHidden/>
              </w:rPr>
            </w:r>
            <w:r>
              <w:rPr>
                <w:noProof/>
                <w:webHidden/>
              </w:rPr>
              <w:fldChar w:fldCharType="separate"/>
            </w:r>
            <w:r>
              <w:rPr>
                <w:noProof/>
                <w:webHidden/>
              </w:rPr>
              <w:t>8</w:t>
            </w:r>
            <w:r>
              <w:rPr>
                <w:noProof/>
                <w:webHidden/>
              </w:rPr>
              <w:fldChar w:fldCharType="end"/>
            </w:r>
          </w:hyperlink>
        </w:p>
        <w:p w14:paraId="6CA5920D" w14:textId="6C818E86" w:rsidR="00A65256" w:rsidRDefault="00A6525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96465381" w:history="1">
            <w:r w:rsidRPr="005D0B4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_Toc196465381 \h </w:instrText>
            </w:r>
            <w:r>
              <w:rPr>
                <w:noProof/>
                <w:webHidden/>
              </w:rPr>
            </w:r>
            <w:r>
              <w:rPr>
                <w:noProof/>
                <w:webHidden/>
              </w:rPr>
              <w:fldChar w:fldCharType="separate"/>
            </w:r>
            <w:r>
              <w:rPr>
                <w:noProof/>
                <w:webHidden/>
              </w:rPr>
              <w:t>10</w:t>
            </w:r>
            <w:r>
              <w:rPr>
                <w:noProof/>
                <w:webHidden/>
              </w:rPr>
              <w:fldChar w:fldCharType="end"/>
            </w:r>
          </w:hyperlink>
        </w:p>
        <w:p w14:paraId="26E0E2DA" w14:textId="295A6A9C" w:rsidR="00A65256" w:rsidRDefault="00A6525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96465382" w:history="1">
            <w:r w:rsidRPr="005D0B4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_Toc196465382 \h </w:instrText>
            </w:r>
            <w:r>
              <w:rPr>
                <w:noProof/>
                <w:webHidden/>
              </w:rPr>
            </w:r>
            <w:r>
              <w:rPr>
                <w:noProof/>
                <w:webHidden/>
              </w:rPr>
              <w:fldChar w:fldCharType="separate"/>
            </w:r>
            <w:r>
              <w:rPr>
                <w:noProof/>
                <w:webHidden/>
              </w:rPr>
              <w:t>12</w:t>
            </w:r>
            <w:r>
              <w:rPr>
                <w:noProof/>
                <w:webHidden/>
              </w:rPr>
              <w:fldChar w:fldCharType="end"/>
            </w:r>
          </w:hyperlink>
        </w:p>
        <w:p w14:paraId="1C6B8EDA" w14:textId="21481743" w:rsidR="00A65256" w:rsidRDefault="00A6525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96465383" w:history="1">
            <w:r w:rsidRPr="005D0B4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_Toc196465383 \h </w:instrText>
            </w:r>
            <w:r>
              <w:rPr>
                <w:noProof/>
                <w:webHidden/>
              </w:rPr>
            </w:r>
            <w:r>
              <w:rPr>
                <w:noProof/>
                <w:webHidden/>
              </w:rPr>
              <w:fldChar w:fldCharType="separate"/>
            </w:r>
            <w:r>
              <w:rPr>
                <w:noProof/>
                <w:webHidden/>
              </w:rPr>
              <w:t>13</w:t>
            </w:r>
            <w:r>
              <w:rPr>
                <w:noProof/>
                <w:webHidden/>
              </w:rPr>
              <w:fldChar w:fldCharType="end"/>
            </w:r>
          </w:hyperlink>
        </w:p>
        <w:p w14:paraId="655409E0" w14:textId="58F49A5C" w:rsidR="00A65256" w:rsidRDefault="00A6525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96465384" w:history="1">
            <w:r w:rsidRPr="005D0B4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_Toc196465384 \h </w:instrText>
            </w:r>
            <w:r>
              <w:rPr>
                <w:noProof/>
                <w:webHidden/>
              </w:rPr>
            </w:r>
            <w:r>
              <w:rPr>
                <w:noProof/>
                <w:webHidden/>
              </w:rPr>
              <w:fldChar w:fldCharType="separate"/>
            </w:r>
            <w:r>
              <w:rPr>
                <w:noProof/>
                <w:webHidden/>
              </w:rPr>
              <w:t>15</w:t>
            </w:r>
            <w:r>
              <w:rPr>
                <w:noProof/>
                <w:webHidden/>
              </w:rPr>
              <w:fldChar w:fldCharType="end"/>
            </w:r>
          </w:hyperlink>
        </w:p>
        <w:p w14:paraId="640BB78E" w14:textId="3DE583CB" w:rsidR="00A65256" w:rsidRDefault="00A6525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96465385" w:history="1">
            <w:r w:rsidRPr="005D0B4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_Toc196465385 \h </w:instrText>
            </w:r>
            <w:r>
              <w:rPr>
                <w:noProof/>
                <w:webHidden/>
              </w:rPr>
            </w:r>
            <w:r>
              <w:rPr>
                <w:noProof/>
                <w:webHidden/>
              </w:rPr>
              <w:fldChar w:fldCharType="separate"/>
            </w:r>
            <w:r>
              <w:rPr>
                <w:noProof/>
                <w:webHidden/>
              </w:rPr>
              <w:t>15</w:t>
            </w:r>
            <w:r>
              <w:rPr>
                <w:noProof/>
                <w:webHidden/>
              </w:rPr>
              <w:fldChar w:fldCharType="end"/>
            </w:r>
          </w:hyperlink>
        </w:p>
        <w:p w14:paraId="308DB2FB" w14:textId="2E409573" w:rsidR="00A65256" w:rsidRDefault="00A6525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96465386" w:history="1">
            <w:r w:rsidRPr="005D0B4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_Toc196465386 \h </w:instrText>
            </w:r>
            <w:r>
              <w:rPr>
                <w:noProof/>
                <w:webHidden/>
              </w:rPr>
            </w:r>
            <w:r>
              <w:rPr>
                <w:noProof/>
                <w:webHidden/>
              </w:rPr>
              <w:fldChar w:fldCharType="separate"/>
            </w:r>
            <w:r>
              <w:rPr>
                <w:noProof/>
                <w:webHidden/>
              </w:rPr>
              <w:t>16</w:t>
            </w:r>
            <w:r>
              <w:rPr>
                <w:noProof/>
                <w:webHidden/>
              </w:rPr>
              <w:fldChar w:fldCharType="end"/>
            </w:r>
          </w:hyperlink>
        </w:p>
        <w:p w14:paraId="47180C58" w14:textId="145C4ECA" w:rsidR="00A65256" w:rsidRDefault="00A6525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96465387" w:history="1">
            <w:r w:rsidRPr="005D0B4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_Toc196465387 \h </w:instrText>
            </w:r>
            <w:r>
              <w:rPr>
                <w:noProof/>
                <w:webHidden/>
              </w:rPr>
            </w:r>
            <w:r>
              <w:rPr>
                <w:noProof/>
                <w:webHidden/>
              </w:rPr>
              <w:fldChar w:fldCharType="separate"/>
            </w:r>
            <w:r>
              <w:rPr>
                <w:noProof/>
                <w:webHidden/>
              </w:rPr>
              <w:t>16</w:t>
            </w:r>
            <w:r>
              <w:rPr>
                <w:noProof/>
                <w:webHidden/>
              </w:rPr>
              <w:fldChar w:fldCharType="end"/>
            </w:r>
          </w:hyperlink>
        </w:p>
        <w:p w14:paraId="009E588D" w14:textId="32B9B0C7" w:rsidR="00A65256" w:rsidRDefault="00A6525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96465388" w:history="1">
            <w:r w:rsidRPr="005D0B4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_Toc196465388 \h </w:instrText>
            </w:r>
            <w:r>
              <w:rPr>
                <w:noProof/>
                <w:webHidden/>
              </w:rPr>
            </w:r>
            <w:r>
              <w:rPr>
                <w:noProof/>
                <w:webHidden/>
              </w:rPr>
              <w:fldChar w:fldCharType="separate"/>
            </w:r>
            <w:r>
              <w:rPr>
                <w:noProof/>
                <w:webHidden/>
              </w:rPr>
              <w:t>17</w:t>
            </w:r>
            <w:r>
              <w:rPr>
                <w:noProof/>
                <w:webHidden/>
              </w:rPr>
              <w:fldChar w:fldCharType="end"/>
            </w:r>
          </w:hyperlink>
        </w:p>
        <w:p w14:paraId="55B7BEC3" w14:textId="0A6B0F4D" w:rsidR="00A65256" w:rsidRDefault="00A6525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96465389" w:history="1">
            <w:r w:rsidRPr="005D0B4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_Toc196465389 \h </w:instrText>
            </w:r>
            <w:r>
              <w:rPr>
                <w:noProof/>
                <w:webHidden/>
              </w:rPr>
            </w:r>
            <w:r>
              <w:rPr>
                <w:noProof/>
                <w:webHidden/>
              </w:rPr>
              <w:fldChar w:fldCharType="separate"/>
            </w:r>
            <w:r>
              <w:rPr>
                <w:noProof/>
                <w:webHidden/>
              </w:rPr>
              <w:t>18</w:t>
            </w:r>
            <w:r>
              <w:rPr>
                <w:noProof/>
                <w:webHidden/>
              </w:rPr>
              <w:fldChar w:fldCharType="end"/>
            </w:r>
          </w:hyperlink>
        </w:p>
        <w:p w14:paraId="051E18C2" w14:textId="776C22CE" w:rsidR="00A65256" w:rsidRDefault="00A6525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96465390" w:history="1">
            <w:r w:rsidRPr="005D0B4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_Toc196465390 \h </w:instrText>
            </w:r>
            <w:r>
              <w:rPr>
                <w:noProof/>
                <w:webHidden/>
              </w:rPr>
            </w:r>
            <w:r>
              <w:rPr>
                <w:noProof/>
                <w:webHidden/>
              </w:rPr>
              <w:fldChar w:fldCharType="separate"/>
            </w:r>
            <w:r>
              <w:rPr>
                <w:noProof/>
                <w:webHidden/>
              </w:rPr>
              <w:t>18</w:t>
            </w:r>
            <w:r>
              <w:rPr>
                <w:noProof/>
                <w:webHidden/>
              </w:rPr>
              <w:fldChar w:fldCharType="end"/>
            </w:r>
          </w:hyperlink>
        </w:p>
        <w:p w14:paraId="6EA88837" w14:textId="734A0FB0" w:rsidR="00A65256" w:rsidRDefault="00A6525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96465391" w:history="1">
            <w:r w:rsidRPr="005D0B4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_Toc196465391 \h </w:instrText>
            </w:r>
            <w:r>
              <w:rPr>
                <w:noProof/>
                <w:webHidden/>
              </w:rPr>
            </w:r>
            <w:r>
              <w:rPr>
                <w:noProof/>
                <w:webHidden/>
              </w:rPr>
              <w:fldChar w:fldCharType="separate"/>
            </w:r>
            <w:r>
              <w:rPr>
                <w:noProof/>
                <w:webHidden/>
              </w:rPr>
              <w:t>18</w:t>
            </w:r>
            <w:r>
              <w:rPr>
                <w:noProof/>
                <w:webHidden/>
              </w:rPr>
              <w:fldChar w:fldCharType="end"/>
            </w:r>
          </w:hyperlink>
        </w:p>
        <w:p w14:paraId="527E9998" w14:textId="334C043D" w:rsidR="00A65256" w:rsidRDefault="00A6525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96465392" w:history="1">
            <w:r w:rsidRPr="005D0B4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_Toc196465392 \h </w:instrText>
            </w:r>
            <w:r>
              <w:rPr>
                <w:noProof/>
                <w:webHidden/>
              </w:rPr>
            </w:r>
            <w:r>
              <w:rPr>
                <w:noProof/>
                <w:webHidden/>
              </w:rPr>
              <w:fldChar w:fldCharType="separate"/>
            </w:r>
            <w:r>
              <w:rPr>
                <w:noProof/>
                <w:webHidden/>
              </w:rPr>
              <w:t>19</w:t>
            </w:r>
            <w:r>
              <w:rPr>
                <w:noProof/>
                <w:webHidden/>
              </w:rPr>
              <w:fldChar w:fldCharType="end"/>
            </w:r>
          </w:hyperlink>
        </w:p>
        <w:p w14:paraId="43551857" w14:textId="5DD7408C" w:rsidR="00F46719" w:rsidRDefault="00F46719">
          <w:r>
            <w:rPr>
              <w:b/>
              <w:bCs/>
              <w:lang w:val="es-ES"/>
            </w:rPr>
            <w:fldChar w:fldCharType="end"/>
          </w:r>
        </w:p>
      </w:sdtContent>
    </w:sdt>
    <w:p w14:paraId="54575967" w14:textId="09BF8276" w:rsidR="007D1E76" w:rsidRPr="000C3365" w:rsidRDefault="007E38A2" w:rsidP="000C3365">
      <w:pPr>
        <w:pStyle w:val="Ttulo2"/>
        <w:rPr>
          <w:rFonts w:asciiTheme="minorHAnsi" w:hAnsiTheme="minorHAnsi" w:cstheme="minorHAnsi"/>
          <w:b/>
          <w:color w:val="auto"/>
          <w:sz w:val="22"/>
        </w:rPr>
      </w:pPr>
      <w:bookmarkStart w:id="0" w:name="_Toc196465377"/>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4620C5" w:rsidRDefault="007D1E76" w:rsidP="00CB41C4">
      <w:pPr>
        <w:tabs>
          <w:tab w:val="left" w:leader="underscore" w:pos="9639"/>
        </w:tabs>
        <w:spacing w:after="0" w:line="240" w:lineRule="auto"/>
        <w:jc w:val="both"/>
        <w:rPr>
          <w:rFonts w:cs="Calibri"/>
        </w:rPr>
      </w:pPr>
      <w:r w:rsidRPr="004620C5">
        <w:rPr>
          <w:rFonts w:cs="Calibri"/>
        </w:rPr>
        <w:t>Se informará sobre:</w:t>
      </w:r>
    </w:p>
    <w:p w14:paraId="062E74E7" w14:textId="77777777" w:rsidR="007D1E76" w:rsidRPr="004620C5" w:rsidRDefault="007D1E76" w:rsidP="00CB41C4">
      <w:pPr>
        <w:tabs>
          <w:tab w:val="left" w:leader="underscore" w:pos="9639"/>
        </w:tabs>
        <w:spacing w:after="0" w:line="240" w:lineRule="auto"/>
        <w:jc w:val="both"/>
        <w:rPr>
          <w:rFonts w:cs="Calibri"/>
        </w:rPr>
      </w:pPr>
    </w:p>
    <w:p w14:paraId="3F477DA3" w14:textId="72F8AFA1" w:rsidR="007D1E76" w:rsidRPr="004620C5" w:rsidRDefault="007D1E76" w:rsidP="00CB41C4">
      <w:pPr>
        <w:tabs>
          <w:tab w:val="left" w:leader="underscore" w:pos="9639"/>
        </w:tabs>
        <w:spacing w:after="0" w:line="240" w:lineRule="auto"/>
        <w:jc w:val="both"/>
        <w:rPr>
          <w:rFonts w:cs="Calibri"/>
          <w:b/>
        </w:rPr>
      </w:pPr>
      <w:r w:rsidRPr="004620C5">
        <w:rPr>
          <w:rFonts w:cs="Calibri"/>
          <w:b/>
        </w:rPr>
        <w:t>a) Fecha de creación del ente</w:t>
      </w:r>
      <w:r w:rsidR="00F43AC5" w:rsidRPr="004620C5">
        <w:rPr>
          <w:rFonts w:cs="Calibri"/>
          <w:b/>
        </w:rPr>
        <w:t xml:space="preserve"> público.</w:t>
      </w:r>
    </w:p>
    <w:p w14:paraId="6A6F7E69" w14:textId="77777777" w:rsidR="001771DF" w:rsidRPr="004620C5" w:rsidRDefault="001771DF" w:rsidP="001771DF">
      <w:pPr>
        <w:spacing w:after="0"/>
        <w:jc w:val="both"/>
        <w:rPr>
          <w:rFonts w:cs="Calibri"/>
        </w:rPr>
      </w:pPr>
    </w:p>
    <w:p w14:paraId="46C6D340" w14:textId="77777777" w:rsidR="001771DF" w:rsidRPr="004620C5" w:rsidRDefault="001771DF" w:rsidP="001771DF">
      <w:pPr>
        <w:spacing w:after="0"/>
        <w:jc w:val="both"/>
        <w:rPr>
          <w:rFonts w:cs="Calibri"/>
        </w:rPr>
      </w:pPr>
      <w:r w:rsidRPr="004620C5">
        <w:rPr>
          <w:rFonts w:cs="Calibri"/>
        </w:rPr>
        <w:t>El artículo 33 de la Constitución Política para el Estado de Guanajuato reconoce la existencia del Municipio de Guanajuato, el cual fue creado el 1° de enero de 1985 con RFC MGU850101JD5.</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4620C5" w:rsidRDefault="007D1E76" w:rsidP="00CB41C4">
      <w:pPr>
        <w:tabs>
          <w:tab w:val="left" w:leader="underscore" w:pos="9639"/>
        </w:tabs>
        <w:spacing w:after="0" w:line="240" w:lineRule="auto"/>
        <w:jc w:val="both"/>
        <w:rPr>
          <w:rFonts w:cs="Calibri"/>
          <w:b/>
        </w:rPr>
      </w:pPr>
      <w:r w:rsidRPr="004620C5">
        <w:rPr>
          <w:rFonts w:cs="Calibri"/>
          <w:b/>
        </w:rPr>
        <w:t>b) Principales cambios en su estructura (interna históricamente).</w:t>
      </w:r>
    </w:p>
    <w:p w14:paraId="57135085" w14:textId="77777777" w:rsidR="001771DF" w:rsidRDefault="001771DF" w:rsidP="00CB41C4">
      <w:pPr>
        <w:tabs>
          <w:tab w:val="left" w:leader="underscore" w:pos="9639"/>
        </w:tabs>
        <w:spacing w:after="0" w:line="240" w:lineRule="auto"/>
        <w:jc w:val="both"/>
        <w:rPr>
          <w:rFonts w:cs="Calibri"/>
        </w:rPr>
      </w:pPr>
    </w:p>
    <w:p w14:paraId="1B04E0C6" w14:textId="77777777" w:rsidR="001771DF" w:rsidRPr="006D0B0E" w:rsidRDefault="001771DF" w:rsidP="001771DF">
      <w:pPr>
        <w:jc w:val="both"/>
        <w:rPr>
          <w:rFonts w:eastAsia="Times New Roman" w:cs="Arial"/>
        </w:rPr>
      </w:pPr>
      <w:r w:rsidRPr="006D0B0E">
        <w:rPr>
          <w:rFonts w:eastAsia="Times New Roman" w:cs="Arial"/>
        </w:rPr>
        <w:t>Presidentes Municipales de los últimos tres periodos:</w:t>
      </w:r>
    </w:p>
    <w:p w14:paraId="73E75B7C" w14:textId="42E2B9D7" w:rsidR="004C63B1" w:rsidRDefault="004C63B1" w:rsidP="001771DF">
      <w:pPr>
        <w:pStyle w:val="Sinespaciado"/>
      </w:pPr>
      <w:r>
        <w:t>Arq. Samantha Smith Gutiérrez (2024-2027)</w:t>
      </w:r>
    </w:p>
    <w:p w14:paraId="252FD955" w14:textId="3A83F8AA" w:rsidR="001771DF" w:rsidRDefault="001771DF" w:rsidP="001771DF">
      <w:pPr>
        <w:pStyle w:val="Sinespaciado"/>
      </w:pPr>
      <w:r w:rsidRPr="0040330C">
        <w:t xml:space="preserve">Lic. Mario Alejandro </w:t>
      </w:r>
      <w:r>
        <w:t>Navarro Saldaña (</w:t>
      </w:r>
      <w:r w:rsidRPr="0040330C">
        <w:t>2021</w:t>
      </w:r>
      <w:r>
        <w:t>-2024</w:t>
      </w:r>
      <w:r w:rsidRPr="0040330C">
        <w:t>)</w:t>
      </w:r>
    </w:p>
    <w:p w14:paraId="37B15DB5" w14:textId="77777777" w:rsidR="001771DF" w:rsidRDefault="001771DF" w:rsidP="001771DF">
      <w:pPr>
        <w:pStyle w:val="Sinespaciado"/>
      </w:pPr>
      <w:r>
        <w:t>C. Armando López Ramírez (Presidente Interino 2021)</w:t>
      </w:r>
    </w:p>
    <w:p w14:paraId="2A64BBB3" w14:textId="77777777" w:rsidR="001771DF" w:rsidRPr="0040330C" w:rsidRDefault="001771DF" w:rsidP="001771DF">
      <w:pPr>
        <w:pStyle w:val="Sinespaciado"/>
      </w:pPr>
      <w:r w:rsidRPr="0040330C">
        <w:t>Lic. Mario Alejandro Navarro Saldaña (2018-2021)</w:t>
      </w:r>
    </w:p>
    <w:p w14:paraId="75819EC9" w14:textId="77777777" w:rsidR="001771DF" w:rsidRPr="0040330C" w:rsidRDefault="001771DF" w:rsidP="001771DF">
      <w:pPr>
        <w:pStyle w:val="Sinespaciado"/>
      </w:pPr>
      <w:r w:rsidRPr="0040330C">
        <w:t>Lic. Edgar Castro Cerrillo (2015-2018)</w:t>
      </w:r>
    </w:p>
    <w:p w14:paraId="08B58048" w14:textId="77777777" w:rsidR="001771DF" w:rsidRPr="0040330C" w:rsidRDefault="001771DF" w:rsidP="001771DF">
      <w:pPr>
        <w:pStyle w:val="Sinespaciado"/>
      </w:pPr>
      <w:r w:rsidRPr="0040330C">
        <w:t>Ing. Luis Fernando Gutiérrez Márquez (2012-2015)</w:t>
      </w:r>
    </w:p>
    <w:p w14:paraId="14694007" w14:textId="77777777" w:rsidR="00BA34B4" w:rsidRPr="00E74967" w:rsidRDefault="00BA34B4" w:rsidP="00516A8F">
      <w:pPr>
        <w:tabs>
          <w:tab w:val="left" w:leader="underscore" w:pos="9639"/>
        </w:tabs>
        <w:spacing w:after="0" w:line="240" w:lineRule="auto"/>
        <w:jc w:val="both"/>
        <w:rPr>
          <w:rFonts w:cs="Calibri"/>
        </w:rPr>
      </w:pPr>
    </w:p>
    <w:p w14:paraId="5A494C73" w14:textId="0B5C4CA9" w:rsidR="00BE02EB" w:rsidRDefault="00BE02EB" w:rsidP="000C3365">
      <w:pPr>
        <w:pStyle w:val="Ttulo2"/>
        <w:rPr>
          <w:rFonts w:asciiTheme="minorHAnsi" w:hAnsiTheme="minorHAnsi" w:cstheme="minorHAnsi"/>
          <w:b/>
          <w:color w:val="auto"/>
          <w:sz w:val="22"/>
        </w:rPr>
      </w:pPr>
      <w:bookmarkStart w:id="1" w:name="_Hlk180413377"/>
      <w:bookmarkStart w:id="2" w:name="_Toc196465378"/>
      <w:r>
        <w:rPr>
          <w:rFonts w:asciiTheme="minorHAnsi" w:hAnsiTheme="minorHAnsi" w:cstheme="minorHAnsi"/>
          <w:b/>
          <w:color w:val="auto"/>
          <w:sz w:val="22"/>
        </w:rPr>
        <w:t xml:space="preserve">2. </w:t>
      </w:r>
      <w:r w:rsidR="00A1081E">
        <w:rPr>
          <w:rFonts w:asciiTheme="minorHAnsi" w:hAnsiTheme="minorHAnsi" w:cstheme="minorHAnsi"/>
          <w:b/>
          <w:color w:val="auto"/>
          <w:sz w:val="22"/>
        </w:rPr>
        <w:t>Describir el p</w:t>
      </w:r>
      <w:r w:rsidR="00B6368B" w:rsidRPr="00B6368B">
        <w:rPr>
          <w:rFonts w:asciiTheme="minorHAnsi" w:hAnsiTheme="minorHAnsi" w:cstheme="minorHAnsi"/>
          <w:b/>
          <w:color w:val="auto"/>
          <w:sz w:val="22"/>
        </w:rPr>
        <w:t>anorama Económico y Financiero</w:t>
      </w:r>
      <w:bookmarkEnd w:id="2"/>
    </w:p>
    <w:bookmarkEnd w:id="1"/>
    <w:p w14:paraId="0AB9191B" w14:textId="77777777" w:rsidR="0029578B" w:rsidRDefault="0029578B" w:rsidP="00516A8F">
      <w:pPr>
        <w:tabs>
          <w:tab w:val="left" w:leader="underscore" w:pos="9639"/>
        </w:tabs>
        <w:spacing w:after="0" w:line="240" w:lineRule="auto"/>
        <w:jc w:val="both"/>
        <w:rPr>
          <w:rFonts w:cs="Calibri"/>
        </w:rPr>
      </w:pPr>
    </w:p>
    <w:p w14:paraId="67BFBFC5" w14:textId="63ADEBA7" w:rsidR="00203E34" w:rsidRPr="00B07431" w:rsidRDefault="00203E34" w:rsidP="00B07431">
      <w:pPr>
        <w:pStyle w:val="Default"/>
        <w:jc w:val="both"/>
        <w:rPr>
          <w:rFonts w:ascii="Calibri" w:hAnsi="Calibri" w:cs="Calibri"/>
          <w:color w:val="auto"/>
          <w:sz w:val="22"/>
          <w:szCs w:val="22"/>
          <w:lang w:eastAsia="en-US"/>
        </w:rPr>
      </w:pPr>
      <w:r w:rsidRPr="00B07431">
        <w:rPr>
          <w:rFonts w:ascii="Calibri" w:hAnsi="Calibri" w:cs="Calibri"/>
          <w:color w:val="auto"/>
          <w:sz w:val="22"/>
          <w:szCs w:val="22"/>
          <w:lang w:eastAsia="en-US"/>
        </w:rPr>
        <w:t>La información oportuna apunta a que la actividad económica mundial se habría  expandido durante el primer trimestre de 2025 a un ritmo inferior al registrado al cierre del año previo, tanto en economías avanzadas como en las emergentes. Además, ante un panorama para la economía mundial que muestra un alto grado de incertidumbre, especialmente respecto de las tensiones comerciales a nivel mundial, las previsiones más</w:t>
      </w:r>
      <w:r w:rsidR="00B07431">
        <w:rPr>
          <w:rFonts w:ascii="Calibri" w:hAnsi="Calibri" w:cs="Calibri"/>
          <w:color w:val="auto"/>
          <w:sz w:val="22"/>
          <w:szCs w:val="22"/>
          <w:lang w:eastAsia="en-US"/>
        </w:rPr>
        <w:t xml:space="preserve"> </w:t>
      </w:r>
      <w:r w:rsidRPr="00B07431">
        <w:rPr>
          <w:rFonts w:ascii="Calibri" w:hAnsi="Calibri" w:cs="Calibri"/>
          <w:color w:val="auto"/>
          <w:sz w:val="22"/>
          <w:szCs w:val="22"/>
          <w:lang w:eastAsia="en-US"/>
        </w:rPr>
        <w:lastRenderedPageBreak/>
        <w:t>recientes para el crecimiento económico durante 2025 se han revisado a la baja en meses recientes en un amplio número de economías, incluyendo la estadounidense.</w:t>
      </w:r>
    </w:p>
    <w:p w14:paraId="42476FC6" w14:textId="77777777" w:rsidR="00B07431" w:rsidRDefault="00B07431" w:rsidP="00B07431">
      <w:pPr>
        <w:pStyle w:val="Sinespaciado"/>
        <w:jc w:val="both"/>
      </w:pPr>
    </w:p>
    <w:p w14:paraId="422CCEB2" w14:textId="0B4F92E2" w:rsidR="00203E34" w:rsidRPr="00B07431" w:rsidRDefault="00203E34" w:rsidP="00B07431">
      <w:pPr>
        <w:pStyle w:val="Sinespaciado"/>
        <w:jc w:val="both"/>
      </w:pPr>
      <w:r w:rsidRPr="00B07431">
        <w:t xml:space="preserve">La inflación general aumentó a inicios de año en las principales economías avanzadas, si bien en algunos casos ha disminuido en sus lecturas más recientes. Por su parte, esta variable ha registrado un comportamiento diferenciado entre países en las economías emergentes, ubicándose en algunos de estos dentro del intervalo de variabilidad para el objetivo de inflación considerado por cada instituto central. En este contexto, si bien la mayoría de los principales bancos centrales tanto en economías avanzadas como emergentes continuaron con la disminución gradual de sus tasas de política monetaria, algunos han pausado los ajustes en lo que va de 2025. </w:t>
      </w:r>
    </w:p>
    <w:p w14:paraId="4997D46C" w14:textId="77777777" w:rsidR="00B07431" w:rsidRDefault="00B07431" w:rsidP="00B07431">
      <w:pPr>
        <w:pStyle w:val="Sinespaciado"/>
        <w:jc w:val="both"/>
      </w:pPr>
    </w:p>
    <w:p w14:paraId="4C024C3E" w14:textId="06C29656" w:rsidR="00203E34" w:rsidRPr="00B07431" w:rsidRDefault="00203E34" w:rsidP="00B07431">
      <w:pPr>
        <w:pStyle w:val="Sinespaciado"/>
        <w:jc w:val="both"/>
      </w:pPr>
      <w:r w:rsidRPr="00B07431">
        <w:t>Los mercados financieros a nivel global han seguido registrando episodios de elevada volatilidad como resultado, principalmente, del alto grado de incertidumbre derivado de las tensiones comerciales y geopolíticas prevalecientes, así como de las preocupaciones en torno a las posibles implicaciones para el ritmo de la actividad económica. En particular, destaca la incertidumbre relativa al rumbo de la política monetaria global ante el aumento de los riesgos a la baja para la actividad y al alza para la inflación. En este contexto, se estima que las condiciones financieras globales se habrían restringido durante el primer trimestre del año.</w:t>
      </w:r>
    </w:p>
    <w:p w14:paraId="0F33CE9A" w14:textId="77777777" w:rsidR="00203E34" w:rsidRPr="00B07431" w:rsidRDefault="00203E34" w:rsidP="00B07431">
      <w:pPr>
        <w:pStyle w:val="Sinespaciado"/>
        <w:jc w:val="both"/>
      </w:pPr>
      <w:r w:rsidRPr="00B07431">
        <w:t>Así, persisten riesgos globales que podrían afectar la estabilidad financiera. Entre estos destaca la posibilidad de que la actividad económica mundial se desacelere pronunciadamente e, incluso, de que algunas economías atraviesen por periodos de contracción. Por su parte, el posible surgimiento de nuevas presiones inflacionarias globales podría ocasionar una disminución en el ritmo de descensos en las tasas de política monetaria a nivel mundial.</w:t>
      </w:r>
    </w:p>
    <w:p w14:paraId="60BD16BD" w14:textId="77777777" w:rsidR="00B07431" w:rsidRDefault="00B07431" w:rsidP="00B07431">
      <w:pPr>
        <w:pStyle w:val="Sinespaciado"/>
        <w:jc w:val="both"/>
      </w:pPr>
    </w:p>
    <w:p w14:paraId="5189A8E2" w14:textId="77777777" w:rsidR="00203E34" w:rsidRPr="00B07431" w:rsidRDefault="00203E34" w:rsidP="00B07431">
      <w:pPr>
        <w:pStyle w:val="Sinespaciado"/>
        <w:jc w:val="both"/>
      </w:pPr>
      <w:r w:rsidRPr="00B07431">
        <w:t>Asimismo, dada la previsible persistencia de un alto grado de incertidumbre en diversos ámbitos, tanto económicos y financieros como políticos y geopolíticos, el espacio para sorpresas en la trayectoria de las condiciones financieras globales es amplio, y su materialización podría tener implicaciones adversas para el buen funcionamiento de los mercados y del sistema financiero internacional.</w:t>
      </w:r>
    </w:p>
    <w:p w14:paraId="511E32E4" w14:textId="77777777" w:rsidR="00B07431" w:rsidRDefault="00B07431" w:rsidP="00B07431">
      <w:pPr>
        <w:pStyle w:val="Sinespaciado"/>
        <w:jc w:val="both"/>
      </w:pPr>
    </w:p>
    <w:p w14:paraId="2920D61F" w14:textId="45A3F75F" w:rsidR="00203E34" w:rsidRPr="00B07431" w:rsidRDefault="00203E34" w:rsidP="00B07431">
      <w:pPr>
        <w:pStyle w:val="Sinespaciado"/>
        <w:jc w:val="both"/>
      </w:pPr>
      <w:r w:rsidRPr="00B07431">
        <w:t>En México, el comportamiento de los mercados financieros locales ha sido relativamente más estable que lo observado a nivel internacional, a pesar de los episodios de volatilidad global asociados con la retórica sobre los cambios en materia de política comercial de la administración de Es</w:t>
      </w:r>
      <w:r w:rsidR="005832CC" w:rsidRPr="00B07431">
        <w:t>tados Unidos. En este contexto</w:t>
      </w:r>
      <w:r w:rsidRPr="00B07431">
        <w:t>, el tipo de cambio del peso mexicano con respecto al dólar estadounidense operó en un rango amplio y actualmente acumula una depreciación de alrededor de 1 por ciento. Por su parte, las tasas de interés de los valores gubernamentales registraron disminuciones en todos sus plazos.</w:t>
      </w:r>
    </w:p>
    <w:p w14:paraId="0E9333B1" w14:textId="77777777" w:rsidR="00B07431" w:rsidRDefault="00B07431" w:rsidP="00B07431">
      <w:pPr>
        <w:pStyle w:val="Sinespaciado"/>
        <w:jc w:val="both"/>
      </w:pPr>
    </w:p>
    <w:p w14:paraId="6BC32BF1" w14:textId="66796C80" w:rsidR="00203E34" w:rsidRPr="00B07431" w:rsidRDefault="00203E34" w:rsidP="00B07431">
      <w:pPr>
        <w:pStyle w:val="Sinespaciado"/>
        <w:jc w:val="both"/>
      </w:pPr>
      <w:r w:rsidRPr="00B07431">
        <w:t>La informa</w:t>
      </w:r>
      <w:r w:rsidR="00D5049C">
        <w:t>ción disponible</w:t>
      </w:r>
      <w:r w:rsidRPr="00B07431">
        <w:t>, sugiere que la debilidad de la actividad económica nacional mostrada al cierre de 2024 podría habe</w:t>
      </w:r>
      <w:r w:rsidR="005832CC" w:rsidRPr="00B07431">
        <w:t xml:space="preserve">rse extendido a inicios de 2025. </w:t>
      </w:r>
      <w:r w:rsidRPr="00B07431">
        <w:t xml:space="preserve">El entorno de incertidumbre y de tensiones comerciales </w:t>
      </w:r>
      <w:r w:rsidRPr="00B07431">
        <w:lastRenderedPageBreak/>
        <w:t>implica importantes riesgos a la baja. En cuanto a la calificación crediticia soberana, esta mantiene el grado de inversión por parte de todas las agencias que la evalúan, al tiempo que conserva una perspectiva estable para la mayoría de ellas. Sin embargo, algunas han reiterado en comunicaciones recientes algunos retos relevantes para la economía mexicana, destacando entre estos el proteccionismo comercial de Estados Unidos y la incertidumbre asociada con ello.</w:t>
      </w:r>
    </w:p>
    <w:p w14:paraId="4032BF21" w14:textId="77777777" w:rsidR="00B07431" w:rsidRDefault="00B07431" w:rsidP="00E16610">
      <w:pPr>
        <w:pStyle w:val="Default"/>
        <w:jc w:val="both"/>
        <w:rPr>
          <w:rFonts w:ascii="Calibri" w:hAnsi="Calibri" w:cs="Calibri"/>
          <w:color w:val="auto"/>
          <w:sz w:val="18"/>
          <w:szCs w:val="18"/>
          <w:lang w:eastAsia="en-US"/>
        </w:rPr>
      </w:pPr>
    </w:p>
    <w:p w14:paraId="7F158572" w14:textId="160CF312" w:rsidR="00203E34" w:rsidRDefault="00203E34" w:rsidP="00E16610">
      <w:pPr>
        <w:pStyle w:val="Default"/>
        <w:jc w:val="both"/>
        <w:rPr>
          <w:rFonts w:ascii="Calibri" w:hAnsi="Calibri" w:cs="Calibri"/>
          <w:color w:val="auto"/>
          <w:sz w:val="18"/>
          <w:szCs w:val="18"/>
          <w:lang w:eastAsia="en-US"/>
        </w:rPr>
      </w:pPr>
      <w:hyperlink r:id="rId12" w:history="1">
        <w:r w:rsidRPr="00944626">
          <w:rPr>
            <w:rStyle w:val="Hipervnculo"/>
            <w:rFonts w:ascii="Calibri" w:hAnsi="Calibri" w:cs="Calibri"/>
            <w:sz w:val="18"/>
            <w:szCs w:val="18"/>
            <w:lang w:eastAsia="en-US"/>
          </w:rPr>
          <w:t>https://www.gob.mx/shcp/prensa/el-consejo-de-estabilidad-del-sistema-financiero-actualiza-su-balance-de-riesgos-394374?tab</w:t>
        </w:r>
      </w:hyperlink>
      <w:r w:rsidRPr="00203E34">
        <w:rPr>
          <w:rFonts w:ascii="Calibri" w:hAnsi="Calibri" w:cs="Calibri"/>
          <w:color w:val="auto"/>
          <w:sz w:val="18"/>
          <w:szCs w:val="18"/>
          <w:lang w:eastAsia="en-US"/>
        </w:rPr>
        <w:t>=</w:t>
      </w:r>
    </w:p>
    <w:p w14:paraId="2DCA5E6D" w14:textId="77777777" w:rsidR="00203E34" w:rsidRDefault="00203E34" w:rsidP="00E16610">
      <w:pPr>
        <w:pStyle w:val="Default"/>
        <w:jc w:val="both"/>
        <w:rPr>
          <w:rFonts w:ascii="Calibri" w:hAnsi="Calibri" w:cs="Calibri"/>
          <w:color w:val="auto"/>
          <w:sz w:val="18"/>
          <w:szCs w:val="18"/>
          <w:lang w:eastAsia="en-US"/>
        </w:rPr>
      </w:pPr>
    </w:p>
    <w:p w14:paraId="6C532222" w14:textId="77777777" w:rsidR="002E1F53" w:rsidRPr="00F4110D" w:rsidRDefault="002E1F53" w:rsidP="00E16610">
      <w:pPr>
        <w:pStyle w:val="Default"/>
        <w:jc w:val="both"/>
        <w:rPr>
          <w:rFonts w:ascii="Calibri" w:hAnsi="Calibri" w:cs="Calibri"/>
          <w:color w:val="auto"/>
          <w:sz w:val="18"/>
          <w:szCs w:val="18"/>
          <w:lang w:eastAsia="en-US"/>
        </w:rPr>
      </w:pPr>
    </w:p>
    <w:p w14:paraId="488A78DE" w14:textId="77777777" w:rsidR="00E16610" w:rsidRPr="00D57D50" w:rsidRDefault="00E16610" w:rsidP="00E16610">
      <w:pPr>
        <w:rPr>
          <w:b/>
          <w:bCs/>
        </w:rPr>
      </w:pPr>
      <w:bookmarkStart w:id="3" w:name="_Hlk180413464"/>
      <w:r w:rsidRPr="00D57D50">
        <w:rPr>
          <w:b/>
          <w:bCs/>
        </w:rPr>
        <w:t>Actividad económica estatal</w:t>
      </w:r>
    </w:p>
    <w:bookmarkEnd w:id="3"/>
    <w:p w14:paraId="61997C5C" w14:textId="77777777" w:rsidR="00203E34" w:rsidRPr="00AD5C80" w:rsidRDefault="00203E34" w:rsidP="00AD5C80">
      <w:pPr>
        <w:spacing w:before="180" w:after="180" w:line="240" w:lineRule="auto"/>
        <w:jc w:val="both"/>
        <w:rPr>
          <w:rFonts w:cs="Arial"/>
        </w:rPr>
      </w:pPr>
      <w:r w:rsidRPr="00AD5C80">
        <w:rPr>
          <w:rFonts w:cs="Arial"/>
        </w:rPr>
        <w:t>Guanajuato reafirma su liderazgo económico con un crecimiento sostenido en empleo e inversión, según la Encuesta Nacional de Ocupación y Empleo (ENOE) del Instituto Nacional de Estadística y Geografía (INEGI) correspondiente al cuarto trimestre de 2024.</w:t>
      </w:r>
    </w:p>
    <w:p w14:paraId="5F96DCE8" w14:textId="77777777" w:rsidR="00203E34" w:rsidRPr="00AD5C80" w:rsidRDefault="00203E34" w:rsidP="00AD5C80">
      <w:pPr>
        <w:spacing w:before="180" w:after="180" w:line="240" w:lineRule="auto"/>
        <w:jc w:val="both"/>
        <w:rPr>
          <w:rFonts w:cs="Arial"/>
        </w:rPr>
      </w:pPr>
      <w:r w:rsidRPr="00AD5C80">
        <w:rPr>
          <w:rFonts w:cs="Arial"/>
        </w:rPr>
        <w:t>Con una fuerza laboral superior a las 2 millones 900 mil personas y más de 2 millones 834 mil personas ocupadas, el estado continúa consolidándose como un ecosistema de prosperidad atractivo para la inversión y desarrollo económico.</w:t>
      </w:r>
    </w:p>
    <w:p w14:paraId="39A5882C" w14:textId="77777777" w:rsidR="00203E34" w:rsidRPr="00AD5C80" w:rsidRDefault="00203E34" w:rsidP="00AD5C80">
      <w:pPr>
        <w:spacing w:before="180" w:after="180" w:line="240" w:lineRule="auto"/>
        <w:jc w:val="both"/>
        <w:rPr>
          <w:rFonts w:cs="Arial"/>
        </w:rPr>
      </w:pPr>
      <w:r w:rsidRPr="00AD5C80">
        <w:rPr>
          <w:rFonts w:cs="Arial"/>
        </w:rPr>
        <w:t>En comparación con el mismo periodo del año anterior, Guanajuato registró un incremento de más de 30 mil personas ocupadas.</w:t>
      </w:r>
    </w:p>
    <w:p w14:paraId="1E65DC4C" w14:textId="77777777" w:rsidR="00203E34" w:rsidRPr="00AD5C80" w:rsidRDefault="00203E34" w:rsidP="00AD5C80">
      <w:pPr>
        <w:spacing w:before="180" w:after="180" w:line="240" w:lineRule="auto"/>
        <w:jc w:val="both"/>
        <w:rPr>
          <w:rFonts w:cs="Arial"/>
        </w:rPr>
      </w:pPr>
      <w:r w:rsidRPr="00AD5C80">
        <w:rPr>
          <w:rFonts w:cs="Arial"/>
        </w:rPr>
        <w:t>Particularmente, en el periodo reportado, destacan el sector manufacturero y el comercio como las actividades que más empleo incrementaron, además del comercio, los servicios sociales, el transporte, así como restaurantes y alojamiento.</w:t>
      </w:r>
    </w:p>
    <w:p w14:paraId="401E00EF" w14:textId="77777777" w:rsidR="00203E34" w:rsidRPr="00AD5C80" w:rsidRDefault="00203E34" w:rsidP="00AD5C80">
      <w:pPr>
        <w:spacing w:before="180" w:after="180" w:line="240" w:lineRule="auto"/>
        <w:jc w:val="both"/>
        <w:rPr>
          <w:rFonts w:cs="Arial"/>
        </w:rPr>
      </w:pPr>
      <w:r w:rsidRPr="00AD5C80">
        <w:rPr>
          <w:rFonts w:cs="Arial"/>
        </w:rPr>
        <w:t>El crecimiento por encima de la media nacional es resultado de políticas públicas enfocadas en atraer inversiones nacionales e internacionales y en el aprovechamiento de las ventajas competitivas del estado.</w:t>
      </w:r>
    </w:p>
    <w:p w14:paraId="64944C9B" w14:textId="2519EE54" w:rsidR="00203E34" w:rsidRDefault="00AD5C80" w:rsidP="00F4110D">
      <w:pPr>
        <w:jc w:val="both"/>
        <w:rPr>
          <w:rFonts w:cs="Calibri"/>
          <w:sz w:val="18"/>
          <w:szCs w:val="18"/>
        </w:rPr>
      </w:pPr>
      <w:hyperlink r:id="rId13" w:history="1">
        <w:r w:rsidRPr="00944626">
          <w:rPr>
            <w:rStyle w:val="Hipervnculo"/>
            <w:rFonts w:cs="Calibri"/>
            <w:sz w:val="18"/>
            <w:szCs w:val="18"/>
          </w:rPr>
          <w:t>https://boletines.guanajuato.gob.mx/2025/02/26/guanajuato-fortalece-su-crecimiento-economico/</w:t>
        </w:r>
      </w:hyperlink>
    </w:p>
    <w:p w14:paraId="75D8444C" w14:textId="77777777" w:rsidR="00B07431" w:rsidRDefault="00B07431" w:rsidP="000C3365">
      <w:pPr>
        <w:pStyle w:val="Ttulo2"/>
        <w:rPr>
          <w:rFonts w:ascii="Calibri" w:eastAsia="Calibri" w:hAnsi="Calibri" w:cs="Calibri"/>
          <w:color w:val="auto"/>
          <w:sz w:val="18"/>
          <w:szCs w:val="18"/>
        </w:rPr>
      </w:pPr>
    </w:p>
    <w:p w14:paraId="08136E94" w14:textId="40BF43B8" w:rsidR="007D1E76" w:rsidRPr="000C3365" w:rsidRDefault="009736CB" w:rsidP="000C3365">
      <w:pPr>
        <w:pStyle w:val="Ttulo2"/>
        <w:rPr>
          <w:rFonts w:asciiTheme="minorHAnsi" w:hAnsiTheme="minorHAnsi" w:cstheme="minorHAnsi"/>
          <w:b/>
          <w:color w:val="auto"/>
          <w:sz w:val="22"/>
        </w:rPr>
      </w:pPr>
      <w:bookmarkStart w:id="4" w:name="_Toc196465379"/>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51BD62F" w14:textId="77777777" w:rsidR="00BA34B4" w:rsidRDefault="00BA34B4" w:rsidP="00BA34B4">
      <w:pPr>
        <w:tabs>
          <w:tab w:val="left" w:leader="underscore" w:pos="9923"/>
        </w:tabs>
        <w:spacing w:after="0"/>
        <w:jc w:val="both"/>
        <w:rPr>
          <w:rFonts w:cs="Arial"/>
          <w:b/>
          <w:bCs/>
          <w:sz w:val="20"/>
          <w:szCs w:val="20"/>
        </w:rPr>
      </w:pPr>
    </w:p>
    <w:p w14:paraId="04C10E73" w14:textId="77777777" w:rsidR="00B07431" w:rsidRDefault="00B07431" w:rsidP="005B478F">
      <w:pPr>
        <w:tabs>
          <w:tab w:val="left" w:leader="underscore" w:pos="9923"/>
        </w:tabs>
        <w:spacing w:after="0"/>
        <w:jc w:val="both"/>
        <w:rPr>
          <w:rFonts w:cs="Arial"/>
          <w:b/>
          <w:bCs/>
        </w:rPr>
      </w:pPr>
      <w:bookmarkStart w:id="5" w:name="_Toc188864625"/>
    </w:p>
    <w:p w14:paraId="7D54088C" w14:textId="77777777" w:rsidR="00B07431" w:rsidRDefault="00B07431" w:rsidP="005B478F">
      <w:pPr>
        <w:tabs>
          <w:tab w:val="left" w:leader="underscore" w:pos="9923"/>
        </w:tabs>
        <w:spacing w:after="0"/>
        <w:jc w:val="both"/>
        <w:rPr>
          <w:rFonts w:cs="Arial"/>
          <w:b/>
          <w:bCs/>
        </w:rPr>
      </w:pPr>
    </w:p>
    <w:p w14:paraId="26DBB0D6" w14:textId="3A80E98A" w:rsidR="00BA34B4" w:rsidRPr="005B478F" w:rsidRDefault="00BA34B4" w:rsidP="005B478F">
      <w:pPr>
        <w:tabs>
          <w:tab w:val="left" w:leader="underscore" w:pos="9923"/>
        </w:tabs>
        <w:spacing w:after="0"/>
        <w:jc w:val="both"/>
        <w:rPr>
          <w:rFonts w:cs="Arial"/>
          <w:b/>
          <w:bCs/>
        </w:rPr>
      </w:pPr>
      <w:r w:rsidRPr="005B478F">
        <w:rPr>
          <w:rFonts w:cs="Arial"/>
          <w:b/>
          <w:bCs/>
        </w:rPr>
        <w:lastRenderedPageBreak/>
        <w:t>Misión</w:t>
      </w:r>
      <w:r w:rsidR="00504B51" w:rsidRPr="005B478F">
        <w:rPr>
          <w:rFonts w:cs="Arial"/>
          <w:b/>
          <w:bCs/>
        </w:rPr>
        <w:t xml:space="preserve"> </w:t>
      </w:r>
      <w:bookmarkEnd w:id="5"/>
    </w:p>
    <w:p w14:paraId="5A0119DC" w14:textId="77777777" w:rsidR="00D5630A" w:rsidRDefault="00D5630A" w:rsidP="00BA34B4">
      <w:pPr>
        <w:spacing w:after="0"/>
        <w:jc w:val="both"/>
        <w:rPr>
          <w:rFonts w:cs="Arial"/>
        </w:rPr>
      </w:pPr>
    </w:p>
    <w:p w14:paraId="16DAD2C2" w14:textId="77777777" w:rsidR="00BA34B4" w:rsidRPr="006A039E" w:rsidRDefault="00BA34B4" w:rsidP="00BA34B4">
      <w:pPr>
        <w:spacing w:after="0"/>
        <w:jc w:val="both"/>
        <w:rPr>
          <w:rFonts w:cs="Arial"/>
        </w:rPr>
      </w:pPr>
      <w:r w:rsidRPr="006A039E">
        <w:rPr>
          <w:rFonts w:cs="Arial"/>
        </w:rPr>
        <w:t>Somos el gobierno de la Capital del Estado y Ciudad Patrimonio Cultural de la Humanidad por la UNESCO, así como la Capital Cervantina de Am</w:t>
      </w:r>
      <w:r w:rsidRPr="00B3744E">
        <w:rPr>
          <w:rFonts w:cs="Arial"/>
        </w:rPr>
        <w:t>érica, Ciudad en continuo creci</w:t>
      </w:r>
      <w:r w:rsidRPr="006A039E">
        <w:rPr>
          <w:rFonts w:cs="Arial"/>
        </w:rPr>
        <w:t>miento, con una zona urbana que va más allá del Centro Histórico, de los edificios históricos, túneles, tradicionales callejones, además de localidade</w:t>
      </w:r>
      <w:r w:rsidRPr="00B3744E">
        <w:rPr>
          <w:rFonts w:cs="Arial"/>
        </w:rPr>
        <w:t>s y comunidades que se han inte</w:t>
      </w:r>
      <w:r w:rsidRPr="006A039E">
        <w:rPr>
          <w:rFonts w:cs="Arial"/>
        </w:rPr>
        <w:t xml:space="preserve">grado al desarrollo del municipio, a través de la participación de sus habitantes. </w:t>
      </w:r>
    </w:p>
    <w:p w14:paraId="63D40D2E" w14:textId="77777777" w:rsidR="00BA34B4" w:rsidRDefault="00BA34B4" w:rsidP="00BA34B4">
      <w:pPr>
        <w:spacing w:after="0"/>
        <w:jc w:val="both"/>
        <w:rPr>
          <w:rFonts w:cs="Arial"/>
        </w:rPr>
      </w:pPr>
    </w:p>
    <w:p w14:paraId="590A7A19" w14:textId="77777777" w:rsidR="00BA34B4" w:rsidRPr="006A039E" w:rsidRDefault="00BA34B4" w:rsidP="00BA34B4">
      <w:pPr>
        <w:spacing w:after="0"/>
        <w:jc w:val="both"/>
        <w:rPr>
          <w:rFonts w:cs="Arial"/>
        </w:rPr>
      </w:pPr>
      <w:r w:rsidRPr="006A039E">
        <w:rPr>
          <w:rFonts w:cs="Arial"/>
        </w:rPr>
        <w:t>Nuestro quehacer va más allá de la tradicional prestación de</w:t>
      </w:r>
      <w:r w:rsidRPr="00B3744E">
        <w:rPr>
          <w:rFonts w:cs="Arial"/>
        </w:rPr>
        <w:t xml:space="preserve"> servicios públicos, en la admi</w:t>
      </w:r>
      <w:r w:rsidRPr="006A039E">
        <w:rPr>
          <w:rFonts w:cs="Arial"/>
        </w:rPr>
        <w:t>nistración municipal trabajan día a día funcionarias y funci</w:t>
      </w:r>
      <w:r w:rsidRPr="00B3744E">
        <w:rPr>
          <w:rFonts w:cs="Arial"/>
        </w:rPr>
        <w:t>onarios con capacidades, aptitu</w:t>
      </w:r>
      <w:r w:rsidRPr="006A039E">
        <w:rPr>
          <w:rFonts w:cs="Arial"/>
        </w:rPr>
        <w:t xml:space="preserve">des y actitudes para la gestión de resultados positivos que impactan en la calidad de vida de los 194 500 habitantes del municipio. </w:t>
      </w:r>
    </w:p>
    <w:p w14:paraId="01FAE980" w14:textId="77777777" w:rsidR="00BA34B4" w:rsidRDefault="00BA34B4" w:rsidP="00BA34B4">
      <w:pPr>
        <w:spacing w:after="0"/>
        <w:jc w:val="both"/>
        <w:rPr>
          <w:rFonts w:cs="Arial"/>
        </w:rPr>
      </w:pPr>
    </w:p>
    <w:p w14:paraId="2BB589A8" w14:textId="72C6F12E" w:rsidR="00BA34B4" w:rsidRPr="006A039E" w:rsidRDefault="00E16610" w:rsidP="00BA34B4">
      <w:pPr>
        <w:spacing w:after="0"/>
        <w:jc w:val="both"/>
        <w:rPr>
          <w:rFonts w:cs="Arial"/>
        </w:rPr>
      </w:pPr>
      <w:r>
        <w:rPr>
          <w:rFonts w:cs="Arial"/>
        </w:rPr>
        <w:t>E</w:t>
      </w:r>
      <w:r w:rsidR="00BA34B4" w:rsidRPr="006A039E">
        <w:rPr>
          <w:rFonts w:cs="Arial"/>
        </w:rPr>
        <w:t xml:space="preserve">l gran reto de Guanajuato Capital es, por un lado, preservar la grandeza de nuestro Centro Histórico, difundiendo nuestro patrimonio para que cada vez más personas nos visiten; y, por otro lado, construir una zona sur y rural ordenada, con seguridad, buenos servicios, con movilidad, y atractiva para la atracción de inversiones. </w:t>
      </w:r>
    </w:p>
    <w:p w14:paraId="6E6EC6B3" w14:textId="77777777" w:rsidR="00BA34B4" w:rsidRDefault="00BA34B4" w:rsidP="00BA34B4">
      <w:pPr>
        <w:spacing w:after="0"/>
        <w:jc w:val="both"/>
        <w:rPr>
          <w:rFonts w:cs="Arial"/>
        </w:rPr>
      </w:pPr>
    </w:p>
    <w:p w14:paraId="2AC9A49C" w14:textId="7E8C2028" w:rsidR="00BA34B4" w:rsidRDefault="00BA34B4" w:rsidP="00BA34B4">
      <w:pPr>
        <w:spacing w:after="0"/>
        <w:jc w:val="both"/>
        <w:rPr>
          <w:rFonts w:cs="Arial"/>
        </w:rPr>
      </w:pPr>
      <w:r w:rsidRPr="00B3744E">
        <w:rPr>
          <w:rFonts w:cs="Arial"/>
        </w:rPr>
        <w:t>Por lo anterior, nuestra Misión es continuar trabajando por una capital segura, próspera, ordenada, de bienestar y con un buen gobierno, innovador y transparente. Por supuesto, adaptándonos a la coyuntura que vive nuestra ciudad, México, y todo el mundo.</w:t>
      </w:r>
    </w:p>
    <w:p w14:paraId="27F4BE1D" w14:textId="77777777" w:rsidR="00BA34B4" w:rsidRDefault="00BA34B4" w:rsidP="00BA34B4">
      <w:pPr>
        <w:spacing w:after="0"/>
        <w:jc w:val="both"/>
        <w:rPr>
          <w:rFonts w:cs="Arial"/>
        </w:rPr>
      </w:pPr>
    </w:p>
    <w:p w14:paraId="6594647E" w14:textId="77777777" w:rsidR="00504B51" w:rsidRDefault="00504B51" w:rsidP="00BA34B4">
      <w:pPr>
        <w:tabs>
          <w:tab w:val="left" w:leader="underscore" w:pos="9923"/>
        </w:tabs>
        <w:spacing w:after="0"/>
        <w:jc w:val="both"/>
        <w:rPr>
          <w:rFonts w:cs="Arial"/>
          <w:b/>
          <w:bCs/>
          <w:sz w:val="20"/>
          <w:szCs w:val="20"/>
        </w:rPr>
      </w:pPr>
    </w:p>
    <w:p w14:paraId="7A2917FC" w14:textId="70D5F626" w:rsidR="00EC077C" w:rsidRPr="004620C5" w:rsidRDefault="00EC077C" w:rsidP="00EC077C">
      <w:pPr>
        <w:tabs>
          <w:tab w:val="left" w:leader="underscore" w:pos="9923"/>
        </w:tabs>
        <w:spacing w:after="0"/>
        <w:jc w:val="both"/>
        <w:rPr>
          <w:rFonts w:cs="Arial"/>
          <w:b/>
          <w:bCs/>
        </w:rPr>
      </w:pPr>
      <w:r w:rsidRPr="004620C5">
        <w:rPr>
          <w:rFonts w:cs="Arial"/>
          <w:b/>
          <w:bCs/>
        </w:rPr>
        <w:t>Vis</w:t>
      </w:r>
      <w:r w:rsidR="005B478F">
        <w:rPr>
          <w:rFonts w:cs="Arial"/>
          <w:b/>
          <w:bCs/>
        </w:rPr>
        <w:t>ión</w:t>
      </w:r>
    </w:p>
    <w:p w14:paraId="0A29A199" w14:textId="77777777" w:rsidR="00EC077C" w:rsidRPr="004620C5" w:rsidRDefault="00EC077C" w:rsidP="00BA34B4">
      <w:pPr>
        <w:tabs>
          <w:tab w:val="left" w:leader="underscore" w:pos="9923"/>
        </w:tabs>
        <w:spacing w:after="0"/>
        <w:jc w:val="both"/>
        <w:rPr>
          <w:rFonts w:cs="Arial"/>
          <w:b/>
          <w:bCs/>
        </w:rPr>
      </w:pPr>
    </w:p>
    <w:p w14:paraId="4AF43361" w14:textId="77777777" w:rsidR="00EC077C" w:rsidRPr="004620C5" w:rsidRDefault="00EC077C" w:rsidP="00EC077C">
      <w:pPr>
        <w:jc w:val="both"/>
      </w:pPr>
      <w:r w:rsidRPr="004620C5">
        <w:t>Un Guanajuato en el que sus habitantes se sienten orgullosos de vivir en un municipio seguro, limpio y ordenado.</w:t>
      </w:r>
    </w:p>
    <w:p w14:paraId="1563E4D6" w14:textId="77777777" w:rsidR="00EC077C" w:rsidRPr="004620C5" w:rsidRDefault="00EC077C" w:rsidP="00EC077C">
      <w:pPr>
        <w:jc w:val="both"/>
      </w:pPr>
      <w:r w:rsidRPr="004620C5">
        <w:t>Conscientes de la responsabilidad de tener una ciudad turística, minera, universitaria y patrimonio cultural de la humanidad.</w:t>
      </w:r>
    </w:p>
    <w:p w14:paraId="344E9BFE" w14:textId="77777777" w:rsidR="00EC077C" w:rsidRPr="004620C5" w:rsidRDefault="00EC077C" w:rsidP="00EC077C">
      <w:pPr>
        <w:jc w:val="both"/>
      </w:pPr>
      <w:r w:rsidRPr="004620C5">
        <w:t>Comprometidos con el respeto a sus semejantes, a los espacios públicos, al medio ambiente y a la autoridad.</w:t>
      </w:r>
    </w:p>
    <w:p w14:paraId="46C3263B" w14:textId="77777777" w:rsidR="00EC077C" w:rsidRPr="004620C5" w:rsidRDefault="00EC077C" w:rsidP="00EC077C">
      <w:pPr>
        <w:jc w:val="both"/>
      </w:pPr>
      <w:r w:rsidRPr="004620C5">
        <w:t>Participando en una gran alianza con su gobierno municipal para generar oportunidades de desarrollo en un marco de confianza, credibilidad y apertura.</w:t>
      </w:r>
    </w:p>
    <w:p w14:paraId="479E7FCC" w14:textId="77777777" w:rsidR="00EC077C" w:rsidRDefault="00EC077C" w:rsidP="00EC077C">
      <w:pPr>
        <w:jc w:val="both"/>
      </w:pPr>
      <w:r w:rsidRPr="004620C5">
        <w:lastRenderedPageBreak/>
        <w:t>En convivencia con servidores públicos capaces, fuertes y honestos que trabajan en equipo para resolver los desafíos que vienen con el crecimiento y la prosperidad.</w:t>
      </w:r>
    </w:p>
    <w:p w14:paraId="547E962F" w14:textId="7B1D3C2B" w:rsidR="005B478F" w:rsidRPr="004620C5" w:rsidRDefault="005B478F" w:rsidP="005B478F">
      <w:pPr>
        <w:tabs>
          <w:tab w:val="left" w:leader="underscore" w:pos="9923"/>
        </w:tabs>
        <w:spacing w:after="0"/>
        <w:jc w:val="both"/>
        <w:rPr>
          <w:rFonts w:cs="Arial"/>
          <w:b/>
          <w:bCs/>
        </w:rPr>
      </w:pPr>
      <w:r w:rsidRPr="004620C5">
        <w:rPr>
          <w:rFonts w:cs="Arial"/>
          <w:b/>
          <w:bCs/>
        </w:rPr>
        <w:t>Valo</w:t>
      </w:r>
      <w:r>
        <w:rPr>
          <w:rFonts w:cs="Arial"/>
          <w:b/>
          <w:bCs/>
        </w:rPr>
        <w:t>res</w:t>
      </w:r>
    </w:p>
    <w:p w14:paraId="17546A09" w14:textId="77777777" w:rsidR="005B478F" w:rsidRPr="004620C5" w:rsidRDefault="005B478F" w:rsidP="005B478F">
      <w:pPr>
        <w:tabs>
          <w:tab w:val="left" w:leader="underscore" w:pos="9639"/>
        </w:tabs>
        <w:spacing w:after="0" w:line="240" w:lineRule="auto"/>
        <w:jc w:val="both"/>
        <w:rPr>
          <w:rFonts w:cs="Calibri"/>
        </w:rPr>
      </w:pPr>
    </w:p>
    <w:p w14:paraId="1C749065" w14:textId="42E7AF5E" w:rsidR="005B478F" w:rsidRPr="004620C5" w:rsidRDefault="005B478F" w:rsidP="005B478F">
      <w:pPr>
        <w:spacing w:after="160" w:line="259" w:lineRule="auto"/>
        <w:jc w:val="both"/>
      </w:pPr>
      <w:r w:rsidRPr="004620C5">
        <w:rPr>
          <w:b/>
          <w:bCs/>
        </w:rPr>
        <w:t xml:space="preserve">Fortaleza. - </w:t>
      </w:r>
      <w:r w:rsidRPr="005B478F">
        <w:t>Enfrentar desafíos con resiliencia y determinación para mantener la estabilidad</w:t>
      </w:r>
      <w:r>
        <w:rPr>
          <w:b/>
          <w:bCs/>
        </w:rPr>
        <w:t>.</w:t>
      </w:r>
    </w:p>
    <w:p w14:paraId="3ED44437" w14:textId="77777777" w:rsidR="005B478F" w:rsidRPr="004620C5" w:rsidRDefault="005B478F" w:rsidP="005B478F">
      <w:pPr>
        <w:jc w:val="both"/>
      </w:pPr>
      <w:r w:rsidRPr="004620C5">
        <w:rPr>
          <w:b/>
          <w:bCs/>
        </w:rPr>
        <w:t>Resiliencia. -</w:t>
      </w:r>
      <w:r w:rsidRPr="004620C5">
        <w:t>-Buscaremos reinventarnos ante cualquier circunstancia, aprendiendo de la experiencia y creando una mejor versión de nosotros y nuestro equipo cada día.</w:t>
      </w:r>
    </w:p>
    <w:p w14:paraId="1934CE37" w14:textId="77777777" w:rsidR="005B478F" w:rsidRDefault="005B478F" w:rsidP="005B478F">
      <w:pPr>
        <w:jc w:val="both"/>
      </w:pPr>
      <w:r w:rsidRPr="004620C5">
        <w:rPr>
          <w:b/>
          <w:bCs/>
        </w:rPr>
        <w:t xml:space="preserve">Honestidad. </w:t>
      </w:r>
      <w:r w:rsidRPr="004620C5">
        <w:t xml:space="preserve">- </w:t>
      </w:r>
      <w:r w:rsidRPr="00794EC0">
        <w:t>Actuar con integridad y ética, colocando siempre los intereses de los ciudadanos por encima de cualquier beneficio personal.</w:t>
      </w:r>
    </w:p>
    <w:p w14:paraId="0BB9DF84" w14:textId="19D7C24A" w:rsidR="005B478F" w:rsidRDefault="005B478F" w:rsidP="005B478F">
      <w:pPr>
        <w:jc w:val="both"/>
      </w:pPr>
      <w:r w:rsidRPr="009B1FEB">
        <w:t xml:space="preserve">La transparencia garantiza que todas las operaciones y decisiones sean accesibles comprensibles para la ciudadanía, fomentando confianza pública. </w:t>
      </w:r>
    </w:p>
    <w:p w14:paraId="74C08039" w14:textId="77777777" w:rsidR="005B478F" w:rsidRPr="00746AF5" w:rsidRDefault="005B478F" w:rsidP="005B478F">
      <w:pPr>
        <w:jc w:val="both"/>
      </w:pPr>
      <w:r w:rsidRPr="00746AF5">
        <w:rPr>
          <w:b/>
          <w:bCs/>
        </w:rPr>
        <w:t>Compromis</w:t>
      </w:r>
      <w:r>
        <w:rPr>
          <w:b/>
          <w:bCs/>
        </w:rPr>
        <w:t>o</w:t>
      </w:r>
      <w:r w:rsidRPr="00746AF5">
        <w:t>. - La dedicación constante para mejorar la calidad de vida de los guanajuatenses, cumpliendo las promesas y objetivos de gobierno:</w:t>
      </w:r>
    </w:p>
    <w:p w14:paraId="18041088" w14:textId="77777777" w:rsidR="005B478F" w:rsidRPr="00794EC0" w:rsidRDefault="005B478F" w:rsidP="005B478F">
      <w:pPr>
        <w:pStyle w:val="Prrafodelista"/>
        <w:numPr>
          <w:ilvl w:val="0"/>
          <w:numId w:val="3"/>
        </w:numPr>
        <w:spacing w:after="160" w:line="259" w:lineRule="auto"/>
        <w:jc w:val="both"/>
      </w:pPr>
      <w:r w:rsidRPr="00794EC0">
        <w:t>Resolución de problemas</w:t>
      </w:r>
    </w:p>
    <w:p w14:paraId="6EFAF4C4" w14:textId="77777777" w:rsidR="005B478F" w:rsidRPr="00794EC0" w:rsidRDefault="005B478F" w:rsidP="005B478F">
      <w:pPr>
        <w:pStyle w:val="Prrafodelista"/>
        <w:numPr>
          <w:ilvl w:val="0"/>
          <w:numId w:val="3"/>
        </w:numPr>
        <w:spacing w:after="160" w:line="259" w:lineRule="auto"/>
        <w:jc w:val="both"/>
      </w:pPr>
      <w:r w:rsidRPr="00794EC0">
        <w:t xml:space="preserve">Actitud proactiva </w:t>
      </w:r>
    </w:p>
    <w:p w14:paraId="2C8CE85C" w14:textId="77777777" w:rsidR="005B478F" w:rsidRPr="00794EC0" w:rsidRDefault="005B478F" w:rsidP="005B478F">
      <w:pPr>
        <w:pStyle w:val="Prrafodelista"/>
        <w:numPr>
          <w:ilvl w:val="0"/>
          <w:numId w:val="3"/>
        </w:numPr>
        <w:spacing w:after="160" w:line="259" w:lineRule="auto"/>
        <w:jc w:val="both"/>
      </w:pPr>
      <w:r w:rsidRPr="00794EC0">
        <w:t>Propositivo.</w:t>
      </w:r>
    </w:p>
    <w:p w14:paraId="34BACD4A" w14:textId="77777777" w:rsidR="005B478F" w:rsidRPr="005B478F" w:rsidRDefault="005B478F" w:rsidP="005B478F">
      <w:pPr>
        <w:jc w:val="both"/>
        <w:rPr>
          <w:bCs/>
        </w:rPr>
      </w:pPr>
      <w:r w:rsidRPr="00746AF5">
        <w:rPr>
          <w:b/>
          <w:bCs/>
        </w:rPr>
        <w:t>ORDEN</w:t>
      </w:r>
      <w:r>
        <w:rPr>
          <w:b/>
          <w:bCs/>
        </w:rPr>
        <w:t xml:space="preserve">. - </w:t>
      </w:r>
      <w:r w:rsidRPr="005B478F">
        <w:rPr>
          <w:bCs/>
        </w:rPr>
        <w:t xml:space="preserve">Eficiencia en la gestión de los recursos y servicios, asegurando una ciudad limpia, segura y funcional. </w:t>
      </w:r>
    </w:p>
    <w:p w14:paraId="7D626EBD" w14:textId="77777777" w:rsidR="005B478F" w:rsidRDefault="005B478F" w:rsidP="005B478F">
      <w:pPr>
        <w:jc w:val="both"/>
      </w:pPr>
      <w:r w:rsidRPr="00746AF5">
        <w:t>Un gobierno con orden establece sistemas y procesos eficientes para gestionar recursos y servicios de manera efectiva.</w:t>
      </w:r>
    </w:p>
    <w:p w14:paraId="443F4737" w14:textId="77777777" w:rsidR="005B478F" w:rsidRPr="005B478F" w:rsidRDefault="005B478F" w:rsidP="005B478F">
      <w:pPr>
        <w:jc w:val="both"/>
        <w:rPr>
          <w:bCs/>
        </w:rPr>
      </w:pPr>
      <w:r w:rsidRPr="00746AF5">
        <w:rPr>
          <w:b/>
          <w:bCs/>
        </w:rPr>
        <w:t>Trabajo en equipo</w:t>
      </w:r>
      <w:r>
        <w:rPr>
          <w:b/>
          <w:bCs/>
        </w:rPr>
        <w:t xml:space="preserve">. - </w:t>
      </w:r>
      <w:r w:rsidRPr="005B478F">
        <w:rPr>
          <w:bCs/>
        </w:rPr>
        <w:t>Trabajar en conjunto con todos los sectores sociales fomentado la inclusión y el sentido de pertenencia.</w:t>
      </w:r>
    </w:p>
    <w:p w14:paraId="4A9BDAE0" w14:textId="77777777" w:rsidR="005B478F" w:rsidRPr="00746AF5" w:rsidRDefault="005B478F" w:rsidP="005B478F">
      <w:pPr>
        <w:pStyle w:val="Prrafodelista"/>
        <w:numPr>
          <w:ilvl w:val="0"/>
          <w:numId w:val="4"/>
        </w:numPr>
        <w:spacing w:after="160" w:line="259" w:lineRule="auto"/>
        <w:jc w:val="both"/>
      </w:pPr>
      <w:r w:rsidRPr="00746AF5">
        <w:t xml:space="preserve">Efectividad </w:t>
      </w:r>
    </w:p>
    <w:p w14:paraId="5828B1AB" w14:textId="77777777" w:rsidR="005B478F" w:rsidRPr="00746AF5" w:rsidRDefault="005B478F" w:rsidP="005B478F">
      <w:pPr>
        <w:pStyle w:val="Prrafodelista"/>
        <w:numPr>
          <w:ilvl w:val="0"/>
          <w:numId w:val="4"/>
        </w:numPr>
        <w:spacing w:after="160" w:line="259" w:lineRule="auto"/>
        <w:jc w:val="both"/>
      </w:pPr>
      <w:r w:rsidRPr="00746AF5">
        <w:t xml:space="preserve">Unidad </w:t>
      </w:r>
    </w:p>
    <w:p w14:paraId="2C34D559" w14:textId="77777777" w:rsidR="005B478F" w:rsidRPr="00746AF5" w:rsidRDefault="005B478F" w:rsidP="005B478F">
      <w:pPr>
        <w:pStyle w:val="Prrafodelista"/>
        <w:numPr>
          <w:ilvl w:val="0"/>
          <w:numId w:val="4"/>
        </w:numPr>
        <w:spacing w:after="160" w:line="259" w:lineRule="auto"/>
        <w:jc w:val="both"/>
      </w:pPr>
      <w:r w:rsidRPr="00746AF5">
        <w:t xml:space="preserve">Corresponsabilidad </w:t>
      </w:r>
    </w:p>
    <w:p w14:paraId="01E98436" w14:textId="77777777" w:rsidR="005B478F" w:rsidRDefault="005B478F" w:rsidP="005B478F">
      <w:pPr>
        <w:pStyle w:val="Prrafodelista"/>
        <w:numPr>
          <w:ilvl w:val="0"/>
          <w:numId w:val="4"/>
        </w:numPr>
        <w:spacing w:after="160" w:line="259" w:lineRule="auto"/>
        <w:jc w:val="both"/>
      </w:pPr>
      <w:r w:rsidRPr="00746AF5">
        <w:t>Involucramiento activo</w:t>
      </w:r>
    </w:p>
    <w:p w14:paraId="7681CD07" w14:textId="77777777" w:rsidR="005B478F" w:rsidRDefault="005B478F" w:rsidP="005B478F">
      <w:pPr>
        <w:jc w:val="both"/>
      </w:pPr>
      <w:r w:rsidRPr="00746AF5">
        <w:rPr>
          <w:b/>
          <w:bCs/>
        </w:rPr>
        <w:lastRenderedPageBreak/>
        <w:t>Creatividad e innovación</w:t>
      </w:r>
      <w:r>
        <w:rPr>
          <w:b/>
          <w:bCs/>
        </w:rPr>
        <w:t xml:space="preserve">. – </w:t>
      </w:r>
      <w:r w:rsidRPr="00746AF5">
        <w:t>Capacidad de salir de la zona de confort, reinventarse, solución creativa de problemas, pensamiento estratégico, visión a largo plazo y capacidad de autoevaluación.</w:t>
      </w:r>
    </w:p>
    <w:p w14:paraId="6CA37556" w14:textId="77777777" w:rsidR="005B478F" w:rsidRDefault="005B478F" w:rsidP="005B478F">
      <w:pPr>
        <w:jc w:val="both"/>
      </w:pPr>
      <w:r w:rsidRPr="00746AF5">
        <w:rPr>
          <w:b/>
          <w:bCs/>
        </w:rPr>
        <w:t>Solidaridad</w:t>
      </w:r>
      <w:r>
        <w:rPr>
          <w:b/>
          <w:bCs/>
        </w:rPr>
        <w:t xml:space="preserve">. </w:t>
      </w:r>
      <w:r w:rsidRPr="00746AF5">
        <w:t>– Es un valor que se basa en el respeto a la dignidad de las personas.</w:t>
      </w:r>
    </w:p>
    <w:p w14:paraId="55D95575" w14:textId="77777777" w:rsidR="005B478F" w:rsidRDefault="005B478F" w:rsidP="005B478F">
      <w:pPr>
        <w:jc w:val="both"/>
      </w:pPr>
      <w:r>
        <w:t>Implica ser consciente de las necesidades de los demás y querer ayudar a satisfacerlas.</w:t>
      </w:r>
    </w:p>
    <w:p w14:paraId="0DB05508" w14:textId="77777777" w:rsidR="005B478F" w:rsidRDefault="005B478F" w:rsidP="005B478F">
      <w:pPr>
        <w:pStyle w:val="Prrafodelista"/>
        <w:numPr>
          <w:ilvl w:val="0"/>
          <w:numId w:val="5"/>
        </w:numPr>
        <w:spacing w:after="160" w:line="259" w:lineRule="auto"/>
        <w:jc w:val="both"/>
      </w:pPr>
      <w:r>
        <w:t>Amor al servicio</w:t>
      </w:r>
    </w:p>
    <w:p w14:paraId="40BABA1F" w14:textId="77777777" w:rsidR="005B478F" w:rsidRPr="00746AF5" w:rsidRDefault="005B478F" w:rsidP="005B478F">
      <w:pPr>
        <w:pStyle w:val="Prrafodelista"/>
        <w:numPr>
          <w:ilvl w:val="0"/>
          <w:numId w:val="5"/>
        </w:numPr>
        <w:spacing w:after="160" w:line="259" w:lineRule="auto"/>
        <w:jc w:val="both"/>
      </w:pPr>
      <w:r>
        <w:t>Empatía</w:t>
      </w:r>
    </w:p>
    <w:p w14:paraId="27041984" w14:textId="77777777" w:rsidR="00654F1D" w:rsidRPr="004620C5" w:rsidRDefault="00654F1D" w:rsidP="00CB41C4">
      <w:pPr>
        <w:tabs>
          <w:tab w:val="left" w:leader="underscore" w:pos="9639"/>
        </w:tabs>
        <w:spacing w:after="0" w:line="240" w:lineRule="auto"/>
        <w:jc w:val="both"/>
        <w:rPr>
          <w:rFonts w:cs="Calibri"/>
        </w:rPr>
      </w:pPr>
    </w:p>
    <w:p w14:paraId="2C110A08" w14:textId="77777777" w:rsidR="007D1E76" w:rsidRPr="004620C5" w:rsidRDefault="007D1E76" w:rsidP="00CB41C4">
      <w:pPr>
        <w:tabs>
          <w:tab w:val="left" w:leader="underscore" w:pos="9639"/>
        </w:tabs>
        <w:spacing w:after="0" w:line="240" w:lineRule="auto"/>
        <w:jc w:val="both"/>
        <w:rPr>
          <w:rFonts w:cs="Calibri"/>
        </w:rPr>
      </w:pPr>
      <w:r w:rsidRPr="004620C5">
        <w:rPr>
          <w:rFonts w:cs="Calibri"/>
          <w:b/>
        </w:rPr>
        <w:t>b)</w:t>
      </w:r>
      <w:r w:rsidRPr="004620C5">
        <w:rPr>
          <w:rFonts w:cs="Calibri"/>
        </w:rPr>
        <w:t xml:space="preserve"> Principal actividad.</w:t>
      </w:r>
    </w:p>
    <w:p w14:paraId="54B4A861" w14:textId="77777777" w:rsidR="00BA34B4" w:rsidRPr="004620C5" w:rsidRDefault="00BA34B4" w:rsidP="00CB41C4">
      <w:pPr>
        <w:tabs>
          <w:tab w:val="left" w:leader="underscore" w:pos="9639"/>
        </w:tabs>
        <w:spacing w:after="0" w:line="240" w:lineRule="auto"/>
        <w:jc w:val="both"/>
        <w:rPr>
          <w:rFonts w:cs="Calibri"/>
        </w:rPr>
      </w:pPr>
    </w:p>
    <w:p w14:paraId="31AC81A2" w14:textId="49FCF32B" w:rsidR="00BA34B4" w:rsidRPr="004620C5" w:rsidRDefault="00BA34B4" w:rsidP="00BA34B4">
      <w:pPr>
        <w:spacing w:after="0"/>
        <w:jc w:val="both"/>
        <w:rPr>
          <w:rFonts w:cs="Calibri"/>
        </w:rPr>
      </w:pPr>
      <w:r w:rsidRPr="004620C5">
        <w:rPr>
          <w:rFonts w:cs="Arial"/>
        </w:rPr>
        <w:t>Administrar la Hacienda Pública Municipal en general y actividades de asistencia.</w:t>
      </w:r>
    </w:p>
    <w:p w14:paraId="5329D3F7" w14:textId="77777777" w:rsidR="004620C5" w:rsidRDefault="004620C5" w:rsidP="00CB41C4">
      <w:pPr>
        <w:tabs>
          <w:tab w:val="left" w:leader="underscore" w:pos="9639"/>
        </w:tabs>
        <w:spacing w:after="0" w:line="240" w:lineRule="auto"/>
        <w:jc w:val="both"/>
        <w:rPr>
          <w:rFonts w:cs="Calibri"/>
          <w:b/>
        </w:rPr>
      </w:pPr>
    </w:p>
    <w:p w14:paraId="2D21CE61" w14:textId="60BA512B" w:rsidR="007D1E76" w:rsidRPr="004620C5" w:rsidRDefault="007D1E76" w:rsidP="00CB41C4">
      <w:pPr>
        <w:tabs>
          <w:tab w:val="left" w:leader="underscore" w:pos="9639"/>
        </w:tabs>
        <w:spacing w:after="0" w:line="240" w:lineRule="auto"/>
        <w:jc w:val="both"/>
        <w:rPr>
          <w:rFonts w:cs="Calibri"/>
          <w:b/>
        </w:rPr>
      </w:pPr>
      <w:r w:rsidRPr="004620C5">
        <w:rPr>
          <w:rFonts w:cs="Calibri"/>
          <w:b/>
        </w:rPr>
        <w:t>c) Ejercicio fiscal (</w:t>
      </w:r>
      <w:r w:rsidR="00CB41C4" w:rsidRPr="004620C5">
        <w:rPr>
          <w:rFonts w:cs="Calibri"/>
          <w:b/>
        </w:rPr>
        <w:t>mencionar,</w:t>
      </w:r>
      <w:r w:rsidRPr="004620C5">
        <w:rPr>
          <w:rFonts w:cs="Calibri"/>
          <w:b/>
        </w:rPr>
        <w:t xml:space="preserve"> por ejemplo: enero a diciembre de 20</w:t>
      </w:r>
      <w:r w:rsidR="009C372B">
        <w:rPr>
          <w:rFonts w:cs="Calibri"/>
          <w:b/>
        </w:rPr>
        <w:t>25</w:t>
      </w:r>
      <w:r w:rsidRPr="004620C5">
        <w:rPr>
          <w:rFonts w:cs="Calibri"/>
          <w:b/>
        </w:rPr>
        <w:t>).</w:t>
      </w:r>
    </w:p>
    <w:p w14:paraId="31A56863" w14:textId="77777777" w:rsidR="00BA34B4" w:rsidRDefault="00BA34B4" w:rsidP="00CB41C4">
      <w:pPr>
        <w:tabs>
          <w:tab w:val="left" w:leader="underscore" w:pos="9639"/>
        </w:tabs>
        <w:spacing w:after="0" w:line="240" w:lineRule="auto"/>
        <w:jc w:val="both"/>
        <w:rPr>
          <w:rFonts w:cs="Calibri"/>
        </w:rPr>
      </w:pPr>
    </w:p>
    <w:p w14:paraId="31A26DEA" w14:textId="5FAE4E49" w:rsidR="00BA34B4" w:rsidRPr="00E74967" w:rsidRDefault="00854ADF" w:rsidP="00CB41C4">
      <w:pPr>
        <w:tabs>
          <w:tab w:val="left" w:leader="underscore" w:pos="9639"/>
        </w:tabs>
        <w:spacing w:after="0" w:line="240" w:lineRule="auto"/>
        <w:jc w:val="both"/>
        <w:rPr>
          <w:rFonts w:cs="Calibri"/>
        </w:rPr>
      </w:pPr>
      <w:r>
        <w:t xml:space="preserve">Del 1 de </w:t>
      </w:r>
      <w:r w:rsidR="009C372B">
        <w:t>enero al 31 de diciembre de 2025</w:t>
      </w:r>
      <w:r w:rsidR="00654F1D">
        <w:rPr>
          <w:rFonts w:cs="Calibri"/>
        </w:rPr>
        <w:t>.</w:t>
      </w:r>
      <w:r w:rsidR="009C372B">
        <w:rPr>
          <w:rFonts w:cs="Calibri"/>
        </w:rPr>
        <w:t xml:space="preserve"> Se informa al 31 de marzo de 2025</w:t>
      </w:r>
      <w:r>
        <w:rPr>
          <w:rFonts w:cs="Calibri"/>
        </w:rPr>
        <w:t>.</w:t>
      </w:r>
    </w:p>
    <w:p w14:paraId="1D0B81C2" w14:textId="77777777" w:rsidR="00654F1D" w:rsidRPr="00E74967" w:rsidRDefault="00654F1D" w:rsidP="00CB41C4">
      <w:pPr>
        <w:tabs>
          <w:tab w:val="left" w:leader="underscore" w:pos="9639"/>
        </w:tabs>
        <w:spacing w:after="0" w:line="240" w:lineRule="auto"/>
        <w:jc w:val="both"/>
        <w:rPr>
          <w:rFonts w:cs="Calibri"/>
        </w:rPr>
      </w:pPr>
    </w:p>
    <w:p w14:paraId="6B13C93F" w14:textId="77777777" w:rsidR="007D1E76" w:rsidRPr="004620C5" w:rsidRDefault="007D1E76" w:rsidP="00CB41C4">
      <w:pPr>
        <w:tabs>
          <w:tab w:val="left" w:leader="underscore" w:pos="9639"/>
        </w:tabs>
        <w:spacing w:after="0" w:line="240" w:lineRule="auto"/>
        <w:jc w:val="both"/>
        <w:rPr>
          <w:rFonts w:cs="Calibri"/>
          <w:b/>
        </w:rPr>
      </w:pPr>
      <w:r w:rsidRPr="004620C5">
        <w:rPr>
          <w:rFonts w:cs="Calibri"/>
          <w:b/>
        </w:rPr>
        <w:t>d) Régimen jurídico (Forma como está dada de alta la entidad ante la S.H.C.P., ejemplos: S.C., S.A., Personas morales sin fines de lucro, etc.).</w:t>
      </w:r>
    </w:p>
    <w:p w14:paraId="7F1BD284" w14:textId="77777777" w:rsidR="00654F1D" w:rsidRDefault="00654F1D" w:rsidP="00CB41C4">
      <w:pPr>
        <w:tabs>
          <w:tab w:val="left" w:leader="underscore" w:pos="9639"/>
        </w:tabs>
        <w:spacing w:after="0" w:line="240" w:lineRule="auto"/>
        <w:jc w:val="both"/>
        <w:rPr>
          <w:rFonts w:cs="Calibri"/>
        </w:rPr>
      </w:pPr>
    </w:p>
    <w:p w14:paraId="59DACB46" w14:textId="39B53178" w:rsidR="00654F1D" w:rsidRPr="006D0B0E" w:rsidRDefault="00654F1D" w:rsidP="00654F1D">
      <w:pPr>
        <w:spacing w:after="0"/>
        <w:jc w:val="both"/>
        <w:rPr>
          <w:rFonts w:cs="Calibri"/>
        </w:rPr>
      </w:pPr>
      <w:r w:rsidRPr="006D0B0E">
        <w:rPr>
          <w:rFonts w:cs="Arial"/>
          <w:szCs w:val="20"/>
        </w:rPr>
        <w:t>Persona moral con fines no lucrativos</w:t>
      </w:r>
      <w:r>
        <w:rPr>
          <w:rFonts w:cs="Arial"/>
          <w:szCs w:val="20"/>
        </w:rPr>
        <w:t>.</w:t>
      </w:r>
    </w:p>
    <w:p w14:paraId="684EFE58" w14:textId="77777777" w:rsidR="00654F1D" w:rsidRDefault="00654F1D" w:rsidP="00654F1D">
      <w:pPr>
        <w:tabs>
          <w:tab w:val="left" w:leader="underscore" w:pos="9639"/>
        </w:tabs>
        <w:spacing w:after="0" w:line="240" w:lineRule="auto"/>
        <w:jc w:val="both"/>
        <w:rPr>
          <w:rFonts w:cs="Calibri"/>
        </w:rPr>
      </w:pPr>
    </w:p>
    <w:p w14:paraId="7A0F78D6" w14:textId="77777777" w:rsidR="00654F1D" w:rsidRPr="004620C5" w:rsidRDefault="007D1E76" w:rsidP="00654F1D">
      <w:pPr>
        <w:tabs>
          <w:tab w:val="left" w:leader="underscore" w:pos="9639"/>
        </w:tabs>
        <w:spacing w:after="0" w:line="240" w:lineRule="auto"/>
        <w:jc w:val="both"/>
        <w:rPr>
          <w:rFonts w:cs="Calibri"/>
          <w:b/>
        </w:rPr>
      </w:pPr>
      <w:r w:rsidRPr="004620C5">
        <w:rPr>
          <w:rFonts w:cs="Calibri"/>
          <w:b/>
        </w:rPr>
        <w:t xml:space="preserve">e) Consideraciones fiscales del ente: </w:t>
      </w:r>
      <w:r w:rsidR="00657009" w:rsidRPr="004620C5">
        <w:rPr>
          <w:rFonts w:cs="Calibri"/>
          <w:b/>
        </w:rPr>
        <w:t>R</w:t>
      </w:r>
      <w:r w:rsidRPr="004620C5">
        <w:rPr>
          <w:rFonts w:cs="Calibri"/>
          <w:b/>
        </w:rPr>
        <w:t>evelar el tipo de contribuciones que esté obligado a pagar o retener.</w:t>
      </w:r>
    </w:p>
    <w:p w14:paraId="3179C194" w14:textId="77777777" w:rsidR="00654F1D" w:rsidRDefault="00654F1D" w:rsidP="00654F1D">
      <w:pPr>
        <w:tabs>
          <w:tab w:val="left" w:leader="underscore" w:pos="9639"/>
        </w:tabs>
        <w:spacing w:after="0" w:line="240" w:lineRule="auto"/>
        <w:jc w:val="both"/>
        <w:rPr>
          <w:rFonts w:cs="Calibri"/>
        </w:rPr>
      </w:pPr>
    </w:p>
    <w:p w14:paraId="38747194" w14:textId="77777777" w:rsidR="00654F1D" w:rsidRDefault="00654F1D" w:rsidP="004620C5">
      <w:pPr>
        <w:pStyle w:val="Prrafodelista"/>
        <w:numPr>
          <w:ilvl w:val="0"/>
          <w:numId w:val="7"/>
        </w:numPr>
        <w:jc w:val="both"/>
      </w:pPr>
      <w:r>
        <w:t xml:space="preserve">Entero de retenciones mensuales de ISR por sueldos y salarios </w:t>
      </w:r>
    </w:p>
    <w:p w14:paraId="66361919" w14:textId="293D04A7" w:rsidR="00654F1D" w:rsidRDefault="00654F1D" w:rsidP="004620C5">
      <w:pPr>
        <w:pStyle w:val="Prrafodelista"/>
        <w:numPr>
          <w:ilvl w:val="0"/>
          <w:numId w:val="7"/>
        </w:numPr>
        <w:jc w:val="both"/>
      </w:pPr>
      <w:r>
        <w:t>Entero de retención de ISR por servicios profesionales</w:t>
      </w:r>
    </w:p>
    <w:p w14:paraId="446DC839" w14:textId="77777777" w:rsidR="00654F1D" w:rsidRDefault="00654F1D" w:rsidP="004620C5">
      <w:pPr>
        <w:pStyle w:val="Prrafodelista"/>
        <w:numPr>
          <w:ilvl w:val="0"/>
          <w:numId w:val="7"/>
        </w:numPr>
        <w:jc w:val="both"/>
      </w:pPr>
      <w:r>
        <w:t>Entero de retenciones mensuales de ISR por ingresos asimilados a salarios</w:t>
      </w:r>
    </w:p>
    <w:p w14:paraId="42A6FB03" w14:textId="7C195DC5" w:rsidR="00654F1D" w:rsidRDefault="00654F1D" w:rsidP="004620C5">
      <w:pPr>
        <w:pStyle w:val="Prrafodelista"/>
        <w:numPr>
          <w:ilvl w:val="0"/>
          <w:numId w:val="7"/>
        </w:numPr>
        <w:jc w:val="both"/>
      </w:pPr>
      <w:r>
        <w:t>Entero mensual de retenciones de ISR de ingresos por arrendamiento</w:t>
      </w:r>
    </w:p>
    <w:p w14:paraId="1AF886CC" w14:textId="77777777" w:rsidR="00654F1D" w:rsidRDefault="00654F1D" w:rsidP="004620C5">
      <w:pPr>
        <w:pStyle w:val="Prrafodelista"/>
        <w:numPr>
          <w:ilvl w:val="0"/>
          <w:numId w:val="7"/>
        </w:numPr>
        <w:jc w:val="both"/>
      </w:pPr>
      <w:r>
        <w:t>Declaración informativa anual de pagos y retenciones de servicios profesionales. Personas Morales. Impuesto Sobre la Renta</w:t>
      </w:r>
    </w:p>
    <w:p w14:paraId="6268EF76" w14:textId="5771BBEE" w:rsidR="007D1E76" w:rsidRPr="00654F1D" w:rsidRDefault="00654F1D" w:rsidP="004620C5">
      <w:pPr>
        <w:pStyle w:val="Prrafodelista"/>
        <w:numPr>
          <w:ilvl w:val="0"/>
          <w:numId w:val="7"/>
        </w:numPr>
        <w:jc w:val="both"/>
      </w:pPr>
      <w:r>
        <w:t>Declaración informativa anual de retenciones de ISR por arrendamiento de inmuebles</w:t>
      </w:r>
    </w:p>
    <w:p w14:paraId="1A6972FD" w14:textId="77777777" w:rsidR="00E16610" w:rsidRDefault="00E16610" w:rsidP="00CB41C4">
      <w:pPr>
        <w:tabs>
          <w:tab w:val="left" w:leader="underscore" w:pos="9639"/>
        </w:tabs>
        <w:spacing w:after="0" w:line="240" w:lineRule="auto"/>
        <w:jc w:val="both"/>
        <w:rPr>
          <w:rFonts w:cs="Calibri"/>
          <w:b/>
        </w:rPr>
      </w:pPr>
    </w:p>
    <w:p w14:paraId="3FEA8325" w14:textId="77777777" w:rsidR="004620C5" w:rsidRDefault="004620C5" w:rsidP="00CB41C4">
      <w:pPr>
        <w:tabs>
          <w:tab w:val="left" w:leader="underscore" w:pos="9639"/>
        </w:tabs>
        <w:spacing w:after="0" w:line="240" w:lineRule="auto"/>
        <w:jc w:val="both"/>
        <w:rPr>
          <w:rFonts w:cs="Calibri"/>
          <w:b/>
        </w:rPr>
      </w:pPr>
    </w:p>
    <w:p w14:paraId="39E4301B" w14:textId="77777777" w:rsidR="004620C5" w:rsidRDefault="004620C5" w:rsidP="00CB41C4">
      <w:pPr>
        <w:tabs>
          <w:tab w:val="left" w:leader="underscore" w:pos="9639"/>
        </w:tabs>
        <w:spacing w:after="0" w:line="240" w:lineRule="auto"/>
        <w:jc w:val="both"/>
        <w:rPr>
          <w:rFonts w:cs="Calibri"/>
          <w:b/>
        </w:rPr>
      </w:pPr>
    </w:p>
    <w:p w14:paraId="6EB77A6D" w14:textId="76BEF0C5" w:rsidR="007D1E76" w:rsidRPr="004620C5" w:rsidRDefault="007D1E76" w:rsidP="00CB41C4">
      <w:pPr>
        <w:tabs>
          <w:tab w:val="left" w:leader="underscore" w:pos="9639"/>
        </w:tabs>
        <w:spacing w:after="0" w:line="240" w:lineRule="auto"/>
        <w:jc w:val="both"/>
        <w:rPr>
          <w:rFonts w:cs="Calibri"/>
          <w:b/>
        </w:rPr>
      </w:pPr>
      <w:r w:rsidRPr="004620C5">
        <w:rPr>
          <w:rFonts w:cs="Calibri"/>
          <w:b/>
        </w:rPr>
        <w:t>f) Estructura organizacional básica.</w:t>
      </w:r>
    </w:p>
    <w:p w14:paraId="052DDB11" w14:textId="4B4231E5" w:rsidR="00EC077C" w:rsidRPr="000722D8" w:rsidRDefault="007D1E76" w:rsidP="000722D8">
      <w:pPr>
        <w:tabs>
          <w:tab w:val="left" w:leader="underscore" w:pos="9639"/>
        </w:tabs>
        <w:spacing w:after="0" w:line="240" w:lineRule="auto"/>
        <w:ind w:firstLine="708"/>
        <w:jc w:val="both"/>
        <w:rPr>
          <w:rFonts w:cs="Calibri"/>
        </w:rPr>
      </w:pPr>
      <w:r w:rsidRPr="00E74967">
        <w:rPr>
          <w:rFonts w:cs="Calibri"/>
        </w:rPr>
        <w:t>*Anexar organigrama de la entidad.</w:t>
      </w:r>
    </w:p>
    <w:p w14:paraId="2FEC7B12" w14:textId="7552DAD1" w:rsidR="00EC077C" w:rsidRDefault="004620C5" w:rsidP="00A65256">
      <w:pPr>
        <w:tabs>
          <w:tab w:val="left" w:leader="underscore" w:pos="9639"/>
        </w:tabs>
        <w:spacing w:after="0" w:line="240" w:lineRule="auto"/>
        <w:ind w:firstLine="708"/>
        <w:jc w:val="center"/>
        <w:rPr>
          <w:rFonts w:cs="Calibri"/>
          <w:b/>
          <w:bCs/>
        </w:rPr>
      </w:pPr>
      <w:r w:rsidRPr="004620C5">
        <w:rPr>
          <w:rFonts w:cs="Calibri"/>
          <w:b/>
          <w:bCs/>
        </w:rPr>
        <w:t>(Administración 202</w:t>
      </w:r>
      <w:r>
        <w:rPr>
          <w:rFonts w:cs="Calibri"/>
          <w:b/>
          <w:bCs/>
        </w:rPr>
        <w:t>4</w:t>
      </w:r>
      <w:r w:rsidRPr="004620C5">
        <w:rPr>
          <w:rFonts w:cs="Calibri"/>
          <w:b/>
          <w:bCs/>
        </w:rPr>
        <w:t>-202</w:t>
      </w:r>
      <w:r>
        <w:rPr>
          <w:rFonts w:cs="Calibri"/>
          <w:b/>
          <w:bCs/>
        </w:rPr>
        <w:t>7</w:t>
      </w:r>
      <w:r w:rsidRPr="004620C5">
        <w:rPr>
          <w:rFonts w:cs="Calibri"/>
          <w:b/>
          <w:bCs/>
        </w:rPr>
        <w:t>)</w:t>
      </w:r>
    </w:p>
    <w:p w14:paraId="0874F162" w14:textId="77777777" w:rsidR="0043484C" w:rsidRDefault="0043484C" w:rsidP="00EC077C">
      <w:pPr>
        <w:tabs>
          <w:tab w:val="left" w:leader="underscore" w:pos="9639"/>
        </w:tabs>
        <w:spacing w:after="0" w:line="240" w:lineRule="auto"/>
        <w:jc w:val="center"/>
        <w:rPr>
          <w:rFonts w:cs="Calibri"/>
          <w:b/>
          <w:bCs/>
        </w:rPr>
      </w:pPr>
    </w:p>
    <w:p w14:paraId="390FC876" w14:textId="2872D04F" w:rsidR="0043484C" w:rsidRDefault="003B33D2" w:rsidP="00EC077C">
      <w:pPr>
        <w:tabs>
          <w:tab w:val="left" w:leader="underscore" w:pos="9639"/>
        </w:tabs>
        <w:spacing w:after="0" w:line="240" w:lineRule="auto"/>
        <w:jc w:val="center"/>
        <w:rPr>
          <w:rFonts w:cs="Calibri"/>
          <w:b/>
          <w:bCs/>
        </w:rPr>
      </w:pPr>
      <w:r>
        <w:rPr>
          <w:noProof/>
        </w:rPr>
        <w:drawing>
          <wp:inline distT="0" distB="0" distL="0" distR="0" wp14:anchorId="57AE2869" wp14:editId="02446B9A">
            <wp:extent cx="6151880" cy="3592218"/>
            <wp:effectExtent l="0" t="0" r="1270" b="8255"/>
            <wp:docPr id="577506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0660" name=""/>
                    <pic:cNvPicPr/>
                  </pic:nvPicPr>
                  <pic:blipFill rotWithShape="1">
                    <a:blip r:embed="rId14"/>
                    <a:srcRect l="16493" t="21138" r="21778" b="14755"/>
                    <a:stretch/>
                  </pic:blipFill>
                  <pic:spPr bwMode="auto">
                    <a:xfrm>
                      <a:off x="0" y="0"/>
                      <a:ext cx="6151880" cy="3592218"/>
                    </a:xfrm>
                    <a:prstGeom prst="rect">
                      <a:avLst/>
                    </a:prstGeom>
                    <a:ln>
                      <a:noFill/>
                    </a:ln>
                    <a:extLst>
                      <a:ext uri="{53640926-AAD7-44D8-BBD7-CCE9431645EC}">
                        <a14:shadowObscured xmlns:a14="http://schemas.microsoft.com/office/drawing/2010/main"/>
                      </a:ext>
                    </a:extLst>
                  </pic:spPr>
                </pic:pic>
              </a:graphicData>
            </a:graphic>
          </wp:inline>
        </w:drawing>
      </w:r>
    </w:p>
    <w:p w14:paraId="3B91A393" w14:textId="77777777" w:rsidR="00EC077C" w:rsidRDefault="00EC077C" w:rsidP="00EC077C">
      <w:pPr>
        <w:tabs>
          <w:tab w:val="left" w:leader="underscore" w:pos="9639"/>
        </w:tabs>
        <w:spacing w:after="0" w:line="240" w:lineRule="auto"/>
        <w:jc w:val="center"/>
        <w:rPr>
          <w:rFonts w:cs="Calibri"/>
          <w:b/>
          <w:bCs/>
        </w:rPr>
      </w:pPr>
    </w:p>
    <w:p w14:paraId="19CEE146" w14:textId="0080C658" w:rsidR="007D1E76" w:rsidRPr="004620C5" w:rsidRDefault="007D1E76" w:rsidP="00CB41C4">
      <w:pPr>
        <w:tabs>
          <w:tab w:val="left" w:leader="underscore" w:pos="9639"/>
        </w:tabs>
        <w:spacing w:after="0" w:line="240" w:lineRule="auto"/>
        <w:jc w:val="both"/>
        <w:rPr>
          <w:rFonts w:cs="Calibri"/>
          <w:b/>
        </w:rPr>
      </w:pPr>
      <w:r w:rsidRPr="00E74967">
        <w:rPr>
          <w:rFonts w:cs="Calibri"/>
          <w:b/>
        </w:rPr>
        <w:t>g</w:t>
      </w:r>
      <w:r w:rsidRPr="004620C5">
        <w:rPr>
          <w:rFonts w:cs="Calibri"/>
          <w:b/>
        </w:rPr>
        <w:t xml:space="preserve">) </w:t>
      </w:r>
      <w:r w:rsidR="00396D53" w:rsidRPr="004620C5">
        <w:rPr>
          <w:rFonts w:cs="Calibri"/>
          <w:b/>
        </w:rPr>
        <w:t>Fideicomisos de los cuales es fideicomitente o fideicomisario, y contratos análogos, incluyendo mandatos de los cuales es parte.</w:t>
      </w:r>
    </w:p>
    <w:p w14:paraId="6B9C3B7B" w14:textId="77777777" w:rsidR="007E3F3E" w:rsidRDefault="007E3F3E" w:rsidP="00CB41C4">
      <w:pPr>
        <w:tabs>
          <w:tab w:val="left" w:leader="underscore" w:pos="9639"/>
        </w:tabs>
        <w:spacing w:after="0" w:line="240" w:lineRule="auto"/>
        <w:jc w:val="both"/>
        <w:rPr>
          <w:rFonts w:cs="Calibri"/>
        </w:rPr>
      </w:pPr>
    </w:p>
    <w:p w14:paraId="7A1B9FBA" w14:textId="77777777" w:rsidR="007E3F3E" w:rsidRPr="00E53271" w:rsidRDefault="007E3F3E" w:rsidP="007E3F3E">
      <w:pPr>
        <w:tabs>
          <w:tab w:val="left" w:leader="underscore" w:pos="9639"/>
        </w:tabs>
        <w:spacing w:after="0" w:line="240" w:lineRule="auto"/>
        <w:jc w:val="both"/>
        <w:rPr>
          <w:rFonts w:cs="Calibri"/>
        </w:rPr>
      </w:pPr>
      <w:r w:rsidRPr="00E53271">
        <w:rPr>
          <w:rFonts w:cs="Calibri"/>
        </w:rPr>
        <w:t>Al periodo que se informa, el Municipio de Guanajuato no cuenta con fideicomisos, mandatos y análogos.</w:t>
      </w:r>
    </w:p>
    <w:p w14:paraId="63A2DD96" w14:textId="77777777" w:rsidR="007E3F3E" w:rsidRDefault="007E3F3E" w:rsidP="00CB41C4">
      <w:pPr>
        <w:tabs>
          <w:tab w:val="left" w:leader="underscore" w:pos="9639"/>
        </w:tabs>
        <w:spacing w:after="0" w:line="240" w:lineRule="auto"/>
        <w:jc w:val="both"/>
        <w:rPr>
          <w:rFonts w:cs="Calibri"/>
        </w:rPr>
      </w:pPr>
    </w:p>
    <w:p w14:paraId="4580F7E1" w14:textId="77777777" w:rsidR="000722D8" w:rsidRPr="00E74967" w:rsidRDefault="000722D8"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6" w:name="_Toc196465380"/>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6"/>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a) Si se ha observado la normatividad emitida por el CONAC y las disposiciones legales aplicables.</w:t>
      </w:r>
    </w:p>
    <w:p w14:paraId="5E407C7D" w14:textId="77777777" w:rsidR="007E3F3E" w:rsidRDefault="007E3F3E" w:rsidP="007E3F3E">
      <w:pPr>
        <w:spacing w:after="0"/>
        <w:jc w:val="both"/>
        <w:rPr>
          <w:rFonts w:cs="Arial"/>
        </w:rPr>
      </w:pPr>
    </w:p>
    <w:p w14:paraId="6CE31243" w14:textId="7A2B366F" w:rsidR="007E3F3E" w:rsidRPr="00E53271" w:rsidRDefault="007E3F3E" w:rsidP="007E3F3E">
      <w:pPr>
        <w:spacing w:after="0"/>
        <w:jc w:val="both"/>
        <w:rPr>
          <w:rFonts w:cs="Arial"/>
        </w:rPr>
      </w:pPr>
      <w:r w:rsidRPr="00E53271">
        <w:rPr>
          <w:rFonts w:cs="Arial"/>
        </w:rPr>
        <w:t>El municipio ha observado el cumplimiento de las disposiciones legales emiti</w:t>
      </w:r>
      <w:r w:rsidR="000722D8">
        <w:rPr>
          <w:rFonts w:cs="Arial"/>
        </w:rPr>
        <w:t xml:space="preserve">das por el CONAC, con el objeto </w:t>
      </w:r>
      <w:r w:rsidRPr="00E53271">
        <w:rPr>
          <w:rFonts w:cs="Arial"/>
        </w:rPr>
        <w:t>de lograr la armonización contable acorde a la Ley General de Contabilidad Gubernamental.</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F4A2B3D" w14:textId="77777777" w:rsidR="007E3F3E" w:rsidRDefault="007E3F3E" w:rsidP="007E3F3E">
      <w:pPr>
        <w:spacing w:after="0"/>
        <w:jc w:val="both"/>
        <w:rPr>
          <w:rFonts w:cs="Arial"/>
        </w:rPr>
      </w:pPr>
    </w:p>
    <w:p w14:paraId="4DE9FD28" w14:textId="77777777" w:rsidR="007E3F3E" w:rsidRDefault="007E3F3E" w:rsidP="007E3F3E">
      <w:pPr>
        <w:spacing w:after="0"/>
        <w:jc w:val="both"/>
        <w:rPr>
          <w:rFonts w:cs="Arial"/>
        </w:rPr>
      </w:pPr>
      <w:r w:rsidRPr="00E53271">
        <w:rPr>
          <w:rFonts w:cs="Arial"/>
        </w:rPr>
        <w:t>La normatividad aplicada para el reconocimiento, valuación y revelación de los diferentes rubros de la información financiera y las bases de medición utilizadas para la elaboración de los estados financieros se encuentra alineada de acuerdo a las normas emitidas por el CONAC.</w:t>
      </w:r>
    </w:p>
    <w:p w14:paraId="7325CB45" w14:textId="77777777" w:rsidR="006A65AB" w:rsidRPr="00E53271" w:rsidRDefault="006A65AB" w:rsidP="007E3F3E">
      <w:pPr>
        <w:spacing w:after="0"/>
        <w:jc w:val="both"/>
        <w:rPr>
          <w:rFonts w:cs="Arial"/>
        </w:rPr>
      </w:pPr>
    </w:p>
    <w:p w14:paraId="24A1D3E1" w14:textId="77777777" w:rsidR="007E3F3E" w:rsidRPr="00E53271" w:rsidRDefault="007E3F3E" w:rsidP="007E3F3E">
      <w:pPr>
        <w:spacing w:after="0"/>
        <w:jc w:val="both"/>
        <w:rPr>
          <w:rFonts w:cs="Arial"/>
        </w:rPr>
      </w:pPr>
      <w:r w:rsidRPr="00E53271">
        <w:rPr>
          <w:rFonts w:cs="Arial"/>
        </w:rPr>
        <w:t>Las bases que se tomaron para la preparación de los estados financieros del presente periodo, fueron conforme a la Normatividad emitida a la fecha por el Consejo Nacional de Armonización Contable, Constitución Política para el Estado de Guanajuato, Ley de Fiscalización Superior del Estado de Guanajuato, Ley General de Contabilidad Gubernamental, Ley Orgánica Municipal para el Estado de Guanajuato, Ley de Responsabilidades Administrativas para el Estado de Guanajuato.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c) </w:t>
      </w:r>
      <w:r w:rsidR="00A6346D" w:rsidRPr="006A65AB">
        <w:rPr>
          <w:rFonts w:cs="Calibri"/>
          <w:b/>
        </w:rPr>
        <w:t>Postulados básicos de Contabilidad Gubernamental (PBCG)</w:t>
      </w:r>
      <w:r w:rsidRPr="006A65AB">
        <w:rPr>
          <w:rFonts w:cs="Calibri"/>
          <w:b/>
        </w:rPr>
        <w:t>.</w:t>
      </w:r>
    </w:p>
    <w:p w14:paraId="45C03266" w14:textId="77777777" w:rsidR="007E3F3E" w:rsidRDefault="007E3F3E" w:rsidP="007E3F3E">
      <w:pPr>
        <w:spacing w:after="0"/>
        <w:jc w:val="both"/>
        <w:rPr>
          <w:rFonts w:cs="Arial"/>
        </w:rPr>
      </w:pPr>
    </w:p>
    <w:p w14:paraId="70569C89" w14:textId="77777777" w:rsidR="007E3F3E" w:rsidRPr="00E53271" w:rsidRDefault="007E3F3E" w:rsidP="007E3F3E">
      <w:pPr>
        <w:spacing w:after="0"/>
        <w:jc w:val="both"/>
        <w:rPr>
          <w:rFonts w:cs="Arial"/>
        </w:rPr>
      </w:pPr>
      <w:r w:rsidRPr="00E53271">
        <w:rPr>
          <w:rFonts w:cs="Arial"/>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6A65AB">
        <w:rPr>
          <w:rFonts w:cs="Calibri"/>
          <w:b/>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6A65AB">
        <w:rPr>
          <w:rFonts w:cs="Calibri"/>
          <w:b/>
        </w:rPr>
        <w:t>Marco Conceptual de Contabilidad Gubernamental (MCCG) y sus modificaciones</w:t>
      </w:r>
      <w:r w:rsidR="0043078C" w:rsidRPr="0043078C">
        <w:rPr>
          <w:rFonts w:cs="Calibri"/>
        </w:rPr>
        <w:t>.</w:t>
      </w:r>
    </w:p>
    <w:p w14:paraId="1C1FF429" w14:textId="77777777" w:rsidR="007E3F3E" w:rsidRDefault="007E3F3E" w:rsidP="007E3F3E">
      <w:pPr>
        <w:spacing w:after="0"/>
        <w:jc w:val="both"/>
        <w:rPr>
          <w:rFonts w:cs="Arial"/>
        </w:rPr>
      </w:pPr>
    </w:p>
    <w:p w14:paraId="10E68E48" w14:textId="117F8714" w:rsidR="007E3F3E" w:rsidRPr="00E16610" w:rsidRDefault="007E3F3E" w:rsidP="00E16610">
      <w:pPr>
        <w:spacing w:after="0"/>
        <w:jc w:val="both"/>
        <w:rPr>
          <w:rFonts w:cs="Arial"/>
        </w:rPr>
      </w:pPr>
      <w:r w:rsidRPr="00E53271">
        <w:rPr>
          <w:rFonts w:cs="Arial"/>
        </w:rPr>
        <w:t>A la fecha no se aplica normatividad supletoria. La base del devengado conforme a la Ley de Contabilidad Gubernamental, se empezó a aplicar en el año 2010.</w:t>
      </w:r>
    </w:p>
    <w:p w14:paraId="77ED1B46" w14:textId="77777777" w:rsidR="007E3F3E" w:rsidRDefault="007E3F3E" w:rsidP="00CB41C4">
      <w:pPr>
        <w:tabs>
          <w:tab w:val="left" w:leader="underscore" w:pos="9639"/>
        </w:tabs>
        <w:spacing w:after="0" w:line="240" w:lineRule="auto"/>
        <w:jc w:val="both"/>
        <w:rPr>
          <w:rFonts w:cs="Calibri"/>
          <w:b/>
        </w:rPr>
      </w:pPr>
    </w:p>
    <w:p w14:paraId="084AD24A" w14:textId="4A679E5F" w:rsidR="007D1E76" w:rsidRPr="006A65AB" w:rsidRDefault="007D1E76" w:rsidP="00CB41C4">
      <w:pPr>
        <w:tabs>
          <w:tab w:val="left" w:leader="underscore" w:pos="9639"/>
        </w:tabs>
        <w:spacing w:after="0" w:line="240" w:lineRule="auto"/>
        <w:jc w:val="both"/>
        <w:rPr>
          <w:rFonts w:cs="Calibri"/>
          <w:b/>
        </w:rPr>
      </w:pPr>
      <w:r w:rsidRPr="006A65AB">
        <w:rPr>
          <w:rFonts w:cs="Calibri"/>
          <w:b/>
        </w:rPr>
        <w:lastRenderedPageBreak/>
        <w:t xml:space="preserve">e) Para las entidades que por primera vez estén implementando la base </w:t>
      </w:r>
      <w:r w:rsidR="0086420E" w:rsidRPr="006A65AB">
        <w:rPr>
          <w:rFonts w:cs="Calibri"/>
          <w:b/>
        </w:rPr>
        <w:t xml:space="preserve">de </w:t>
      </w:r>
      <w:r w:rsidRPr="006A65AB">
        <w:rPr>
          <w:rFonts w:cs="Calibri"/>
          <w:b/>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39696E5E" w14:textId="77777777" w:rsidR="006A65AB" w:rsidRDefault="006A65AB" w:rsidP="007E3F3E">
      <w:pPr>
        <w:spacing w:after="0"/>
        <w:jc w:val="both"/>
        <w:rPr>
          <w:rFonts w:eastAsia="Times New Roman" w:cs="Arial"/>
          <w:szCs w:val="16"/>
        </w:rPr>
      </w:pPr>
    </w:p>
    <w:p w14:paraId="4663C1EB" w14:textId="698549B4" w:rsidR="007E3F3E" w:rsidRPr="00E53271" w:rsidRDefault="007E3F3E" w:rsidP="007E3F3E">
      <w:pPr>
        <w:spacing w:after="0"/>
        <w:jc w:val="both"/>
        <w:rPr>
          <w:rFonts w:cs="Calibri"/>
          <w:b/>
        </w:rPr>
      </w:pPr>
      <w:r w:rsidRPr="00E53271">
        <w:rPr>
          <w:rFonts w:eastAsia="Times New Roman" w:cs="Arial"/>
          <w:szCs w:val="16"/>
        </w:rPr>
        <w:t>Esta nota no le aplica a este municipio.</w:t>
      </w:r>
      <w:r>
        <w:rPr>
          <w:rFonts w:eastAsia="Times New Roman" w:cs="Arial"/>
          <w:szCs w:val="16"/>
        </w:rPr>
        <w:t xml:space="preserve"> </w:t>
      </w:r>
      <w:r w:rsidRPr="00E53271">
        <w:rPr>
          <w:rFonts w:cs="Arial"/>
        </w:rPr>
        <w:t>La base del devengado conforme a la Ley de Contabilidad Gubernamental, se empezó a aplicar en el año 2010.</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6A65AB" w:rsidRDefault="007D1E76" w:rsidP="00CB41C4">
      <w:pPr>
        <w:tabs>
          <w:tab w:val="left" w:leader="underscore" w:pos="9639"/>
        </w:tabs>
        <w:spacing w:after="0" w:line="240" w:lineRule="auto"/>
        <w:jc w:val="both"/>
        <w:rPr>
          <w:rFonts w:cs="Calibri"/>
          <w:b/>
          <w:bCs/>
        </w:rPr>
      </w:pPr>
      <w:r w:rsidRPr="006A65AB">
        <w:rPr>
          <w:rFonts w:cs="Calibri"/>
          <w:b/>
          <w:bCs/>
        </w:rPr>
        <w:t>*Plan de implementación:</w:t>
      </w:r>
    </w:p>
    <w:p w14:paraId="4B273D75" w14:textId="72F717BD" w:rsidR="007D1E76" w:rsidRDefault="007D1E76" w:rsidP="00CB41C4">
      <w:pPr>
        <w:tabs>
          <w:tab w:val="left" w:leader="underscore" w:pos="9639"/>
        </w:tabs>
        <w:spacing w:after="0" w:line="240" w:lineRule="auto"/>
        <w:jc w:val="both"/>
        <w:rPr>
          <w:rFonts w:cs="Calibri"/>
        </w:rPr>
      </w:pPr>
    </w:p>
    <w:p w14:paraId="0C56ACE4" w14:textId="7394978E" w:rsidR="007E3F3E" w:rsidRPr="007E3F3E" w:rsidRDefault="007E3F3E" w:rsidP="007E3F3E">
      <w:pPr>
        <w:spacing w:after="0"/>
        <w:jc w:val="both"/>
        <w:rPr>
          <w:rFonts w:cs="Calibri"/>
          <w:b/>
        </w:rPr>
      </w:pPr>
      <w:r w:rsidRPr="00E53271">
        <w:rPr>
          <w:rFonts w:eastAsia="Times New Roman" w:cs="Arial"/>
          <w:szCs w:val="16"/>
        </w:rPr>
        <w:t>Esta nota no le aplica a este municipio.</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6A65AB" w:rsidRDefault="007D1E76" w:rsidP="00CB41C4">
      <w:pPr>
        <w:tabs>
          <w:tab w:val="left" w:leader="underscore" w:pos="9639"/>
        </w:tabs>
        <w:spacing w:after="0" w:line="240" w:lineRule="auto"/>
        <w:jc w:val="both"/>
        <w:rPr>
          <w:rFonts w:cs="Calibri"/>
          <w:b/>
          <w:bCs/>
        </w:rPr>
      </w:pPr>
      <w:r w:rsidRPr="006A65AB">
        <w:rPr>
          <w:rFonts w:cs="Calibri"/>
          <w:b/>
          <w:bCs/>
        </w:rPr>
        <w:t>*Revelar los cambios en las políticas, la clasificación y medición de las mismas, así como su impacto en la información financiera:</w:t>
      </w:r>
    </w:p>
    <w:p w14:paraId="0360043A" w14:textId="26870A37" w:rsidR="007D1E76" w:rsidRDefault="007D1E76" w:rsidP="00CB41C4">
      <w:pPr>
        <w:tabs>
          <w:tab w:val="left" w:leader="underscore" w:pos="9639"/>
        </w:tabs>
        <w:spacing w:after="0" w:line="240" w:lineRule="auto"/>
        <w:jc w:val="both"/>
        <w:rPr>
          <w:rFonts w:cs="Calibri"/>
        </w:rPr>
      </w:pPr>
    </w:p>
    <w:p w14:paraId="771F3335" w14:textId="77777777" w:rsidR="007E3F3E" w:rsidRPr="00E53271" w:rsidRDefault="007E3F3E" w:rsidP="007E3F3E">
      <w:pPr>
        <w:spacing w:after="0"/>
        <w:jc w:val="both"/>
        <w:rPr>
          <w:rFonts w:cs="Calibri"/>
          <w:b/>
        </w:rPr>
      </w:pPr>
      <w:r w:rsidRPr="00E53271">
        <w:rPr>
          <w:rFonts w:eastAsia="Times New Roman" w:cs="Arial"/>
          <w:szCs w:val="16"/>
        </w:rPr>
        <w:t>Esta nota no le aplica a este municipio.</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6A65AB" w:rsidRDefault="006F0687" w:rsidP="006F0687">
      <w:pPr>
        <w:tabs>
          <w:tab w:val="left" w:leader="underscore" w:pos="9639"/>
        </w:tabs>
        <w:spacing w:after="0" w:line="240" w:lineRule="auto"/>
        <w:jc w:val="both"/>
        <w:rPr>
          <w:rFonts w:cs="Calibri"/>
          <w:b/>
          <w:bCs/>
        </w:rPr>
      </w:pPr>
      <w:r w:rsidRPr="006A65AB">
        <w:rPr>
          <w:rFonts w:cs="Calibri"/>
          <w:b/>
          <w:bCs/>
        </w:rPr>
        <w:t>*</w:t>
      </w:r>
      <w:r w:rsidR="00D546B2" w:rsidRPr="006A65AB">
        <w:rPr>
          <w:rFonts w:cs="Calibri"/>
          <w:b/>
          <w:bCs/>
        </w:rPr>
        <w:t>Presentar los últimos estados financieros con la normatividad anteriormente utilizada con las nuevas políticas para fines de comparación en la transición a la base de devengado.</w:t>
      </w:r>
    </w:p>
    <w:p w14:paraId="158EC49E" w14:textId="77777777" w:rsidR="007D1E76" w:rsidRDefault="007D1E76" w:rsidP="00CB41C4">
      <w:pPr>
        <w:tabs>
          <w:tab w:val="left" w:leader="underscore" w:pos="9639"/>
        </w:tabs>
        <w:spacing w:after="0" w:line="240" w:lineRule="auto"/>
        <w:jc w:val="both"/>
        <w:rPr>
          <w:rFonts w:cs="Calibri"/>
        </w:rPr>
      </w:pPr>
    </w:p>
    <w:p w14:paraId="271F5ADC" w14:textId="77777777" w:rsidR="007E3F3E" w:rsidRPr="00E53271" w:rsidRDefault="007E3F3E" w:rsidP="007E3F3E">
      <w:pPr>
        <w:spacing w:after="0"/>
        <w:jc w:val="both"/>
        <w:rPr>
          <w:rFonts w:cs="Calibri"/>
          <w:b/>
        </w:rPr>
      </w:pPr>
      <w:r w:rsidRPr="00E53271">
        <w:rPr>
          <w:rFonts w:eastAsia="Times New Roman" w:cs="Arial"/>
          <w:szCs w:val="16"/>
        </w:rPr>
        <w:t>Esta nota no le aplica a este municipio.</w:t>
      </w:r>
    </w:p>
    <w:p w14:paraId="02FC60EF" w14:textId="77777777" w:rsidR="007E3F3E" w:rsidRPr="00E74967" w:rsidRDefault="007E3F3E"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7" w:name="_Toc196465381"/>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7"/>
    </w:p>
    <w:p w14:paraId="6E171C3A" w14:textId="77777777" w:rsidR="006A65AB" w:rsidRDefault="006A65AB" w:rsidP="00AF4375">
      <w:pPr>
        <w:tabs>
          <w:tab w:val="left" w:leader="underscore" w:pos="9639"/>
        </w:tabs>
        <w:spacing w:after="0" w:line="240" w:lineRule="auto"/>
        <w:jc w:val="both"/>
        <w:rPr>
          <w:rFonts w:cs="Calibri"/>
        </w:rPr>
      </w:pPr>
    </w:p>
    <w:p w14:paraId="685C2AC3" w14:textId="1CBBDCEC" w:rsid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0DFB7903" w14:textId="77777777" w:rsidR="006A65AB" w:rsidRPr="00AF4375" w:rsidRDefault="006A65AB" w:rsidP="00AF4375">
      <w:pPr>
        <w:tabs>
          <w:tab w:val="left" w:leader="underscore" w:pos="9639"/>
        </w:tabs>
        <w:spacing w:after="0" w:line="240" w:lineRule="auto"/>
        <w:jc w:val="both"/>
        <w:rPr>
          <w:rFonts w:cs="Calibri"/>
        </w:rPr>
      </w:pP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a) </w:t>
      </w:r>
      <w:r w:rsidR="00FC1AE8" w:rsidRPr="006A65AB">
        <w:rPr>
          <w:rFonts w:cs="Calibri"/>
          <w:b/>
        </w:rPr>
        <w:t>Actualización: se informará del método utilizado para la actualización del valor de los activos, pasivos y Hacienda Pública/Patrimonio y las razones de dicha elección. Así como informar de la desconexión o reconexión inflacionaria</w:t>
      </w:r>
      <w:r w:rsidRPr="006A65AB">
        <w:rPr>
          <w:rFonts w:cs="Calibri"/>
          <w:b/>
        </w:rPr>
        <w:t>:</w:t>
      </w:r>
    </w:p>
    <w:p w14:paraId="6424AB8E" w14:textId="77777777" w:rsidR="007E3F3E" w:rsidRDefault="007E3F3E" w:rsidP="007E3F3E">
      <w:pPr>
        <w:spacing w:after="0"/>
        <w:jc w:val="both"/>
        <w:rPr>
          <w:rFonts w:eastAsia="Times New Roman" w:cs="Arial"/>
          <w:szCs w:val="16"/>
        </w:rPr>
      </w:pPr>
    </w:p>
    <w:p w14:paraId="2923F96E" w14:textId="77777777" w:rsidR="007E3F3E" w:rsidRPr="00E53271" w:rsidRDefault="007E3F3E" w:rsidP="007E3F3E">
      <w:pPr>
        <w:spacing w:after="0"/>
        <w:jc w:val="both"/>
        <w:rPr>
          <w:rFonts w:cs="Calibri"/>
        </w:rPr>
      </w:pPr>
      <w:r w:rsidRPr="00E53271">
        <w:rPr>
          <w:rFonts w:eastAsia="Times New Roman" w:cs="Arial"/>
          <w:szCs w:val="16"/>
        </w:rPr>
        <w:t>Hasta este periodo no se han utilizado métodos de actualización para el activo, pasivo y hacienda pública.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b) </w:t>
      </w:r>
      <w:r w:rsidR="001C710C" w:rsidRPr="006A65AB">
        <w:rPr>
          <w:rFonts w:cs="Calibri"/>
          <w:b/>
        </w:rPr>
        <w:t>Informar sobre la realización de operaciones en el extranjero y de sus efectos en la información financiera gubernamental, considerando entre otros el importe de las variaciones cambiarias reconocidas en el resultado (ahorro o desahorro)</w:t>
      </w:r>
      <w:r w:rsidRPr="006A65AB">
        <w:rPr>
          <w:rFonts w:cs="Calibri"/>
          <w:b/>
        </w:rPr>
        <w:t>:</w:t>
      </w:r>
    </w:p>
    <w:p w14:paraId="35FCED94" w14:textId="77777777" w:rsidR="007D1E76" w:rsidRDefault="007D1E76" w:rsidP="00CB41C4">
      <w:pPr>
        <w:tabs>
          <w:tab w:val="left" w:leader="underscore" w:pos="9639"/>
        </w:tabs>
        <w:spacing w:after="0" w:line="240" w:lineRule="auto"/>
        <w:jc w:val="both"/>
        <w:rPr>
          <w:rFonts w:cs="Calibri"/>
        </w:rPr>
      </w:pPr>
    </w:p>
    <w:p w14:paraId="6CFDB50C" w14:textId="77777777" w:rsidR="007E3F3E" w:rsidRPr="00E53271" w:rsidRDefault="007E3F3E" w:rsidP="007E3F3E">
      <w:pPr>
        <w:spacing w:after="0"/>
        <w:jc w:val="both"/>
        <w:rPr>
          <w:rFonts w:cs="Calibri"/>
        </w:rPr>
      </w:pPr>
      <w:r w:rsidRPr="00E53271">
        <w:rPr>
          <w:rFonts w:eastAsia="Times New Roman" w:cs="Arial"/>
          <w:szCs w:val="16"/>
        </w:rPr>
        <w:t>Al periodo no se han realizado operaciones en el extranjero.</w:t>
      </w:r>
    </w:p>
    <w:p w14:paraId="4FB1A46C" w14:textId="77777777" w:rsidR="007E3F3E" w:rsidRPr="00E74967" w:rsidRDefault="007E3F3E" w:rsidP="00CB41C4">
      <w:pPr>
        <w:tabs>
          <w:tab w:val="left" w:leader="underscore" w:pos="9639"/>
        </w:tabs>
        <w:spacing w:after="0" w:line="240" w:lineRule="auto"/>
        <w:jc w:val="both"/>
        <w:rPr>
          <w:rFonts w:cs="Calibri"/>
        </w:rPr>
      </w:pPr>
    </w:p>
    <w:p w14:paraId="433324F3" w14:textId="626DBDA7"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c) </w:t>
      </w:r>
      <w:r w:rsidR="00E9132F" w:rsidRPr="006A65AB">
        <w:rPr>
          <w:rFonts w:cs="Calibri"/>
          <w:b/>
        </w:rPr>
        <w:t>Método de valuación de la inversión en acciones de Compañías subsidiarias no consolidadas y asociadas</w:t>
      </w:r>
      <w:r w:rsidRPr="006A65AB">
        <w:rPr>
          <w:rFonts w:cs="Calibri"/>
          <w:b/>
        </w:rPr>
        <w:t>:</w:t>
      </w:r>
    </w:p>
    <w:p w14:paraId="5C178A30" w14:textId="77777777" w:rsidR="007E3F3E" w:rsidRDefault="007E3F3E" w:rsidP="00CB41C4">
      <w:pPr>
        <w:tabs>
          <w:tab w:val="left" w:leader="underscore" w:pos="9639"/>
        </w:tabs>
        <w:spacing w:after="0" w:line="240" w:lineRule="auto"/>
        <w:jc w:val="both"/>
        <w:rPr>
          <w:rFonts w:cs="Calibri"/>
        </w:rPr>
      </w:pPr>
    </w:p>
    <w:p w14:paraId="0E1D44F5" w14:textId="3F0E3A12" w:rsidR="007E3F3E" w:rsidRDefault="007E3F3E" w:rsidP="00CB41C4">
      <w:pPr>
        <w:tabs>
          <w:tab w:val="left" w:leader="underscore" w:pos="9639"/>
        </w:tabs>
        <w:spacing w:after="0" w:line="240" w:lineRule="auto"/>
        <w:jc w:val="both"/>
        <w:rPr>
          <w:rFonts w:eastAsia="Times New Roman" w:cs="Arial"/>
          <w:szCs w:val="16"/>
        </w:rPr>
      </w:pPr>
      <w:r w:rsidRPr="00E53271">
        <w:rPr>
          <w:rFonts w:eastAsia="Times New Roman" w:cs="Arial"/>
          <w:szCs w:val="16"/>
        </w:rPr>
        <w:t>Al periodo no se tienen inversiones en acciones de Compañías subsidiarias no consolidadas y asociadas.</w:t>
      </w:r>
    </w:p>
    <w:p w14:paraId="1FD69610" w14:textId="77777777" w:rsidR="007E3F3E" w:rsidRPr="00E74967" w:rsidRDefault="007E3F3E" w:rsidP="00CB41C4">
      <w:pPr>
        <w:tabs>
          <w:tab w:val="left" w:leader="underscore" w:pos="9639"/>
        </w:tabs>
        <w:spacing w:after="0" w:line="240" w:lineRule="auto"/>
        <w:jc w:val="both"/>
        <w:rPr>
          <w:rFonts w:cs="Calibri"/>
        </w:rPr>
      </w:pPr>
    </w:p>
    <w:p w14:paraId="7AB12262"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d) Sistema y método de valuación de inventarios y costo de lo vendido:</w:t>
      </w:r>
    </w:p>
    <w:p w14:paraId="0B282127" w14:textId="77777777" w:rsidR="007D1E76" w:rsidRDefault="007D1E76" w:rsidP="00CB41C4">
      <w:pPr>
        <w:tabs>
          <w:tab w:val="left" w:leader="underscore" w:pos="9639"/>
        </w:tabs>
        <w:spacing w:after="0" w:line="240" w:lineRule="auto"/>
        <w:jc w:val="both"/>
        <w:rPr>
          <w:rFonts w:cs="Calibri"/>
        </w:rPr>
      </w:pPr>
    </w:p>
    <w:p w14:paraId="0B4FE720" w14:textId="77777777" w:rsidR="007E3F3E" w:rsidRPr="00E53271" w:rsidRDefault="007E3F3E" w:rsidP="007E3F3E">
      <w:pPr>
        <w:spacing w:after="0"/>
        <w:jc w:val="both"/>
        <w:rPr>
          <w:rFonts w:cs="Calibri"/>
        </w:rPr>
      </w:pPr>
      <w:r w:rsidRPr="00E53271">
        <w:rPr>
          <w:rFonts w:eastAsia="Times New Roman" w:cs="Arial"/>
          <w:szCs w:val="16"/>
        </w:rPr>
        <w:t>Al periodo no se cuenta con inventario de mercancías para venta, por lo que no se tiene un método de valuación y costo de lo vendido</w:t>
      </w:r>
      <w:r w:rsidRPr="00E53271">
        <w:rPr>
          <w:rFonts w:ascii="Arial" w:hAnsi="Arial" w:cs="Arial"/>
          <w:sz w:val="16"/>
          <w:szCs w:val="16"/>
        </w:rPr>
        <w:t>.</w:t>
      </w:r>
    </w:p>
    <w:p w14:paraId="1B6EF8EA" w14:textId="77777777" w:rsidR="007E3F3E" w:rsidRPr="00E74967" w:rsidRDefault="007E3F3E" w:rsidP="00CB41C4">
      <w:pPr>
        <w:tabs>
          <w:tab w:val="left" w:leader="underscore" w:pos="9639"/>
        </w:tabs>
        <w:spacing w:after="0" w:line="240" w:lineRule="auto"/>
        <w:jc w:val="both"/>
        <w:rPr>
          <w:rFonts w:cs="Calibri"/>
        </w:rPr>
      </w:pPr>
    </w:p>
    <w:p w14:paraId="1D8C904A"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e) Beneficios a empleados: revelar el cálculo de la reserva actuarial, valor presente de los ingresos esperados comparado con el valor presente de la estimación de gastos tanto de los beneficiarios actuales como futuros:</w:t>
      </w:r>
    </w:p>
    <w:p w14:paraId="6636D845" w14:textId="77777777" w:rsidR="007D1E76" w:rsidRDefault="007D1E76" w:rsidP="00CB41C4">
      <w:pPr>
        <w:tabs>
          <w:tab w:val="left" w:leader="underscore" w:pos="9639"/>
        </w:tabs>
        <w:spacing w:after="0" w:line="240" w:lineRule="auto"/>
        <w:jc w:val="both"/>
        <w:rPr>
          <w:rFonts w:cs="Calibri"/>
        </w:rPr>
      </w:pPr>
    </w:p>
    <w:p w14:paraId="696D7C53" w14:textId="77777777" w:rsidR="00761960" w:rsidRPr="006A65AB" w:rsidRDefault="00761960" w:rsidP="00761960">
      <w:pPr>
        <w:spacing w:after="0"/>
        <w:jc w:val="both"/>
        <w:rPr>
          <w:rFonts w:cs="Calibri"/>
          <w:b/>
          <w:bCs/>
        </w:rPr>
      </w:pPr>
      <w:r w:rsidRPr="006A65AB">
        <w:rPr>
          <w:rFonts w:eastAsia="Times New Roman" w:cs="Arial"/>
          <w:b/>
          <w:bCs/>
          <w:szCs w:val="16"/>
        </w:rPr>
        <w:t>Al periodo no se tienen beneficios para empleados en cuestión de reserva actuarial.</w:t>
      </w:r>
    </w:p>
    <w:p w14:paraId="284767AD" w14:textId="77777777" w:rsidR="00761960" w:rsidRPr="00E74967" w:rsidRDefault="00761960"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77777777" w:rsidR="007D1E76" w:rsidRDefault="007D1E76" w:rsidP="00CB41C4">
      <w:pPr>
        <w:tabs>
          <w:tab w:val="left" w:leader="underscore" w:pos="9639"/>
        </w:tabs>
        <w:spacing w:after="0" w:line="240" w:lineRule="auto"/>
        <w:jc w:val="both"/>
        <w:rPr>
          <w:rFonts w:cs="Calibri"/>
        </w:rPr>
      </w:pPr>
    </w:p>
    <w:p w14:paraId="2D74496A" w14:textId="77777777" w:rsidR="00761960" w:rsidRPr="00E53271" w:rsidRDefault="00761960" w:rsidP="00761960">
      <w:pPr>
        <w:spacing w:after="0"/>
        <w:jc w:val="both"/>
        <w:rPr>
          <w:rFonts w:cs="Calibri"/>
        </w:rPr>
      </w:pPr>
      <w:r w:rsidRPr="00E53271">
        <w:rPr>
          <w:rFonts w:eastAsia="Times New Roman" w:cs="Arial"/>
          <w:szCs w:val="16"/>
        </w:rPr>
        <w:t>Al periodo contablemente no se tienen provisiones.</w:t>
      </w:r>
    </w:p>
    <w:p w14:paraId="67BF357F" w14:textId="77777777" w:rsidR="00761960" w:rsidRPr="00E74967" w:rsidRDefault="00761960" w:rsidP="00CB41C4">
      <w:pPr>
        <w:tabs>
          <w:tab w:val="left" w:leader="underscore" w:pos="9639"/>
        </w:tabs>
        <w:spacing w:after="0" w:line="240" w:lineRule="auto"/>
        <w:jc w:val="both"/>
        <w:rPr>
          <w:rFonts w:cs="Calibri"/>
        </w:rPr>
      </w:pPr>
    </w:p>
    <w:p w14:paraId="4190001D"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g) Reservas: objetivo de su creación, monto y plazo:</w:t>
      </w:r>
    </w:p>
    <w:p w14:paraId="48187B92" w14:textId="77777777" w:rsidR="007D1E76" w:rsidRDefault="007D1E76" w:rsidP="00CB41C4">
      <w:pPr>
        <w:tabs>
          <w:tab w:val="left" w:leader="underscore" w:pos="9639"/>
        </w:tabs>
        <w:spacing w:after="0" w:line="240" w:lineRule="auto"/>
        <w:jc w:val="both"/>
        <w:rPr>
          <w:rFonts w:cs="Calibri"/>
        </w:rPr>
      </w:pPr>
    </w:p>
    <w:p w14:paraId="10680175" w14:textId="77777777" w:rsidR="00761960" w:rsidRPr="00E53271" w:rsidRDefault="00761960" w:rsidP="00761960">
      <w:pPr>
        <w:spacing w:after="0"/>
        <w:jc w:val="both"/>
        <w:rPr>
          <w:rFonts w:cs="Calibri"/>
        </w:rPr>
      </w:pPr>
      <w:r w:rsidRPr="00E53271">
        <w:rPr>
          <w:rFonts w:eastAsia="Times New Roman" w:cs="Arial"/>
          <w:szCs w:val="16"/>
        </w:rPr>
        <w:t>Al periodo contablemente no se tienen reservas.</w:t>
      </w:r>
    </w:p>
    <w:p w14:paraId="0AC70719" w14:textId="77777777" w:rsidR="00761960" w:rsidRPr="00E74967" w:rsidRDefault="00761960" w:rsidP="00CB41C4">
      <w:pPr>
        <w:tabs>
          <w:tab w:val="left" w:leader="underscore" w:pos="9639"/>
        </w:tabs>
        <w:spacing w:after="0" w:line="240" w:lineRule="auto"/>
        <w:jc w:val="both"/>
        <w:rPr>
          <w:rFonts w:cs="Calibri"/>
        </w:rPr>
      </w:pPr>
    </w:p>
    <w:p w14:paraId="6E497DBB"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h) Cambios en políticas contables y corrección de errores junto con la revelación de los efectos que se tendrá en la información financiera del ente público, ya sea retrospectivos o prospectivos:</w:t>
      </w:r>
    </w:p>
    <w:p w14:paraId="2B6668A3" w14:textId="77777777" w:rsidR="007D1E76" w:rsidRDefault="007D1E76" w:rsidP="00CB41C4">
      <w:pPr>
        <w:tabs>
          <w:tab w:val="left" w:leader="underscore" w:pos="9639"/>
        </w:tabs>
        <w:spacing w:after="0" w:line="240" w:lineRule="auto"/>
        <w:jc w:val="both"/>
        <w:rPr>
          <w:rFonts w:cs="Calibri"/>
        </w:rPr>
      </w:pPr>
    </w:p>
    <w:p w14:paraId="42AA31F0" w14:textId="77777777" w:rsidR="00761960" w:rsidRPr="00E53271" w:rsidRDefault="00761960" w:rsidP="00761960">
      <w:pPr>
        <w:spacing w:after="0"/>
        <w:jc w:val="both"/>
        <w:rPr>
          <w:rFonts w:cs="Calibri"/>
        </w:rPr>
      </w:pPr>
      <w:r w:rsidRPr="00E53271">
        <w:rPr>
          <w:rFonts w:eastAsia="Times New Roman" w:cs="Arial"/>
          <w:szCs w:val="16"/>
        </w:rPr>
        <w:t>Los cambios en políticas contables que se llevaron a cabo en este ente público para la emisión de información financiera, fueron de acuerdo la Ley General de Contabilidad Gubernamental y la Normatividad vigente emitida por el CONAC hasta el periodo que se informa.</w:t>
      </w:r>
    </w:p>
    <w:p w14:paraId="5CABB777" w14:textId="77777777" w:rsidR="00761960" w:rsidRPr="00E74967" w:rsidRDefault="00761960" w:rsidP="00CB41C4">
      <w:pPr>
        <w:tabs>
          <w:tab w:val="left" w:leader="underscore" w:pos="9639"/>
        </w:tabs>
        <w:spacing w:after="0" w:line="240" w:lineRule="auto"/>
        <w:jc w:val="both"/>
        <w:rPr>
          <w:rFonts w:cs="Calibri"/>
        </w:rPr>
      </w:pPr>
    </w:p>
    <w:p w14:paraId="4AD60C8C" w14:textId="77777777" w:rsidR="006A65AB" w:rsidRDefault="006A65AB" w:rsidP="00CB41C4">
      <w:pPr>
        <w:tabs>
          <w:tab w:val="left" w:leader="underscore" w:pos="9639"/>
        </w:tabs>
        <w:spacing w:after="0" w:line="240" w:lineRule="auto"/>
        <w:jc w:val="both"/>
        <w:rPr>
          <w:rFonts w:cs="Calibri"/>
          <w:b/>
        </w:rPr>
      </w:pPr>
    </w:p>
    <w:p w14:paraId="3A6A6277" w14:textId="77777777" w:rsidR="006A65AB" w:rsidRDefault="006A65AB" w:rsidP="00CB41C4">
      <w:pPr>
        <w:tabs>
          <w:tab w:val="left" w:leader="underscore" w:pos="9639"/>
        </w:tabs>
        <w:spacing w:after="0" w:line="240" w:lineRule="auto"/>
        <w:jc w:val="both"/>
        <w:rPr>
          <w:rFonts w:cs="Calibri"/>
          <w:b/>
        </w:rPr>
      </w:pPr>
    </w:p>
    <w:p w14:paraId="12C8FA9A" w14:textId="10AC3B44" w:rsidR="007D1E76" w:rsidRPr="006A65AB" w:rsidRDefault="007D1E76" w:rsidP="00CB41C4">
      <w:pPr>
        <w:tabs>
          <w:tab w:val="left" w:leader="underscore" w:pos="9639"/>
        </w:tabs>
        <w:spacing w:after="0" w:line="240" w:lineRule="auto"/>
        <w:jc w:val="both"/>
        <w:rPr>
          <w:rFonts w:cs="Calibri"/>
          <w:b/>
        </w:rPr>
      </w:pPr>
      <w:r w:rsidRPr="006A65AB">
        <w:rPr>
          <w:rFonts w:cs="Calibri"/>
          <w:b/>
        </w:rPr>
        <w:t>i) Reclasificaciones: Se deben revelar todos aquellos movimientos entre cuentas por efectos de cambios en los tipos de operaciones:</w:t>
      </w:r>
    </w:p>
    <w:p w14:paraId="5B964C83" w14:textId="77777777" w:rsidR="00761960" w:rsidRDefault="00761960" w:rsidP="00761960">
      <w:pPr>
        <w:spacing w:after="0"/>
        <w:jc w:val="both"/>
        <w:rPr>
          <w:rFonts w:eastAsia="Times New Roman" w:cs="Arial"/>
          <w:szCs w:val="16"/>
        </w:rPr>
      </w:pPr>
    </w:p>
    <w:p w14:paraId="488619BD" w14:textId="77777777" w:rsidR="00761960" w:rsidRPr="00E53271" w:rsidRDefault="00761960" w:rsidP="00761960">
      <w:pPr>
        <w:spacing w:after="0"/>
        <w:jc w:val="both"/>
        <w:rPr>
          <w:rFonts w:cs="Calibri"/>
        </w:rPr>
      </w:pPr>
      <w:r w:rsidRPr="00E53271">
        <w:rPr>
          <w:rFonts w:eastAsia="Times New Roman" w:cs="Arial"/>
          <w:szCs w:val="16"/>
        </w:rPr>
        <w:t>Las reclasificaciones realizadas en el periodo son reclasificaciones contables que no efectúan cambios en los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j) Depuración y cancelación de saldos:</w:t>
      </w:r>
    </w:p>
    <w:p w14:paraId="051C6058" w14:textId="77777777" w:rsidR="00E00323" w:rsidRDefault="00E00323" w:rsidP="00CB41C4">
      <w:pPr>
        <w:tabs>
          <w:tab w:val="left" w:leader="underscore" w:pos="9639"/>
        </w:tabs>
        <w:spacing w:after="0" w:line="240" w:lineRule="auto"/>
        <w:jc w:val="both"/>
        <w:rPr>
          <w:rFonts w:cs="Calibri"/>
        </w:rPr>
      </w:pPr>
    </w:p>
    <w:p w14:paraId="649A90E8" w14:textId="77777777" w:rsidR="00761960" w:rsidRPr="00E53271" w:rsidRDefault="00761960" w:rsidP="00761960">
      <w:pPr>
        <w:spacing w:after="0"/>
        <w:jc w:val="both"/>
        <w:rPr>
          <w:rFonts w:cs="Calibri"/>
        </w:rPr>
      </w:pPr>
      <w:r w:rsidRPr="00E53271">
        <w:rPr>
          <w:rFonts w:eastAsia="Times New Roman" w:cs="Arial"/>
          <w:szCs w:val="16"/>
        </w:rPr>
        <w:t>Al periodo no se han realizado depuraciones de saldos.</w:t>
      </w:r>
    </w:p>
    <w:p w14:paraId="5E18484D" w14:textId="77777777" w:rsidR="00761960" w:rsidRPr="00E74967" w:rsidRDefault="00761960"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8" w:name="_Toc196465382"/>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8"/>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a) Activos en moneda extranjera:</w:t>
      </w:r>
    </w:p>
    <w:p w14:paraId="43F08C55" w14:textId="77777777" w:rsidR="007D1E76" w:rsidRDefault="007D1E76" w:rsidP="00CB41C4">
      <w:pPr>
        <w:tabs>
          <w:tab w:val="left" w:leader="underscore" w:pos="9639"/>
        </w:tabs>
        <w:spacing w:after="0" w:line="240" w:lineRule="auto"/>
        <w:jc w:val="both"/>
        <w:rPr>
          <w:rFonts w:cs="Calibri"/>
        </w:rPr>
      </w:pPr>
    </w:p>
    <w:p w14:paraId="71CEB671"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688F6192" w14:textId="77777777" w:rsidR="001A004E" w:rsidRPr="00E74967" w:rsidRDefault="001A004E" w:rsidP="00CB41C4">
      <w:pPr>
        <w:tabs>
          <w:tab w:val="left" w:leader="underscore" w:pos="9639"/>
        </w:tabs>
        <w:spacing w:after="0" w:line="240" w:lineRule="auto"/>
        <w:jc w:val="both"/>
        <w:rPr>
          <w:rFonts w:cs="Calibri"/>
        </w:rPr>
      </w:pPr>
    </w:p>
    <w:p w14:paraId="7E447291"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b) Pasivos en moneda extranjera:</w:t>
      </w:r>
    </w:p>
    <w:p w14:paraId="54FFA38F" w14:textId="77777777" w:rsidR="007D1E76" w:rsidRDefault="007D1E76" w:rsidP="00CB41C4">
      <w:pPr>
        <w:tabs>
          <w:tab w:val="left" w:leader="underscore" w:pos="9639"/>
        </w:tabs>
        <w:spacing w:after="0" w:line="240" w:lineRule="auto"/>
        <w:jc w:val="both"/>
        <w:rPr>
          <w:rFonts w:cs="Calibri"/>
        </w:rPr>
      </w:pPr>
    </w:p>
    <w:p w14:paraId="7755F01C" w14:textId="77777777" w:rsidR="001A004E" w:rsidRPr="00E53271" w:rsidRDefault="001A004E" w:rsidP="001A004E">
      <w:pPr>
        <w:spacing w:after="0"/>
        <w:jc w:val="both"/>
        <w:rPr>
          <w:rFonts w:cs="Calibri"/>
        </w:rPr>
      </w:pPr>
      <w:r w:rsidRPr="00E53271">
        <w:rPr>
          <w:rFonts w:eastAsia="Times New Roman" w:cs="Arial"/>
          <w:szCs w:val="16"/>
        </w:rPr>
        <w:t>No se tienen pasivos en Moneda Extranjera</w:t>
      </w:r>
    </w:p>
    <w:p w14:paraId="2494B0F8" w14:textId="77777777" w:rsidR="001A004E" w:rsidRPr="00E74967" w:rsidRDefault="001A004E" w:rsidP="00CB41C4">
      <w:pPr>
        <w:tabs>
          <w:tab w:val="left" w:leader="underscore" w:pos="9639"/>
        </w:tabs>
        <w:spacing w:after="0" w:line="240" w:lineRule="auto"/>
        <w:jc w:val="both"/>
        <w:rPr>
          <w:rFonts w:cs="Calibri"/>
        </w:rPr>
      </w:pPr>
    </w:p>
    <w:p w14:paraId="6E3298C9"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c) Posición en moneda extranjera:</w:t>
      </w:r>
    </w:p>
    <w:p w14:paraId="273CC39D" w14:textId="77777777" w:rsidR="007D1E76" w:rsidRDefault="007D1E76" w:rsidP="00CB41C4">
      <w:pPr>
        <w:tabs>
          <w:tab w:val="left" w:leader="underscore" w:pos="9639"/>
        </w:tabs>
        <w:spacing w:after="0" w:line="240" w:lineRule="auto"/>
        <w:jc w:val="both"/>
        <w:rPr>
          <w:rFonts w:cs="Calibri"/>
        </w:rPr>
      </w:pPr>
    </w:p>
    <w:p w14:paraId="6B399CCC"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2FB26E2E" w14:textId="77777777" w:rsidR="001A004E" w:rsidRPr="00E74967" w:rsidRDefault="001A004E" w:rsidP="00CB41C4">
      <w:pPr>
        <w:tabs>
          <w:tab w:val="left" w:leader="underscore" w:pos="9639"/>
        </w:tabs>
        <w:spacing w:after="0" w:line="240" w:lineRule="auto"/>
        <w:jc w:val="both"/>
        <w:rPr>
          <w:rFonts w:cs="Calibri"/>
        </w:rPr>
      </w:pPr>
    </w:p>
    <w:p w14:paraId="61291BC6"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d) Tipo de cambio:</w:t>
      </w:r>
    </w:p>
    <w:p w14:paraId="146CAEC1" w14:textId="77777777" w:rsidR="007D1E76" w:rsidRDefault="007D1E76" w:rsidP="00CB41C4">
      <w:pPr>
        <w:tabs>
          <w:tab w:val="left" w:leader="underscore" w:pos="9639"/>
        </w:tabs>
        <w:spacing w:after="0" w:line="240" w:lineRule="auto"/>
        <w:jc w:val="both"/>
        <w:rPr>
          <w:rFonts w:cs="Calibri"/>
        </w:rPr>
      </w:pPr>
    </w:p>
    <w:p w14:paraId="5A1679F2"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09714952" w14:textId="77777777" w:rsidR="001A004E" w:rsidRPr="00E74967" w:rsidRDefault="001A004E" w:rsidP="00CB41C4">
      <w:pPr>
        <w:tabs>
          <w:tab w:val="left" w:leader="underscore" w:pos="9639"/>
        </w:tabs>
        <w:spacing w:after="0" w:line="240" w:lineRule="auto"/>
        <w:jc w:val="both"/>
        <w:rPr>
          <w:rFonts w:cs="Calibri"/>
        </w:rPr>
      </w:pPr>
    </w:p>
    <w:p w14:paraId="2878D6F1"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e) Equivalente en moneda nacional:</w:t>
      </w:r>
    </w:p>
    <w:p w14:paraId="63BA699C" w14:textId="77777777" w:rsidR="007D1E76" w:rsidRDefault="007D1E76" w:rsidP="00CB41C4">
      <w:pPr>
        <w:tabs>
          <w:tab w:val="left" w:leader="underscore" w:pos="9639"/>
        </w:tabs>
        <w:spacing w:after="0" w:line="240" w:lineRule="auto"/>
        <w:jc w:val="both"/>
        <w:rPr>
          <w:rFonts w:cs="Calibri"/>
        </w:rPr>
      </w:pPr>
    </w:p>
    <w:p w14:paraId="4E58206C"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63E11E66" w14:textId="77777777" w:rsidR="001A004E" w:rsidRPr="00E74967" w:rsidRDefault="001A004E" w:rsidP="00CB41C4">
      <w:pPr>
        <w:tabs>
          <w:tab w:val="left" w:leader="underscore" w:pos="9639"/>
        </w:tabs>
        <w:spacing w:after="0" w:line="240" w:lineRule="auto"/>
        <w:jc w:val="both"/>
        <w:rPr>
          <w:rFonts w:cs="Calibri"/>
        </w:rPr>
      </w:pPr>
    </w:p>
    <w:p w14:paraId="01728175" w14:textId="62F6B4DC"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9" w:name="_Toc196465383"/>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9"/>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a) </w:t>
      </w:r>
      <w:r w:rsidR="00ED7AA0" w:rsidRPr="006A65AB">
        <w:rPr>
          <w:rFonts w:cs="Calibri"/>
          <w:b/>
        </w:rPr>
        <w:t>Vida útil, porcentajes de depreciación y amortización utilizados en los diferentes tipos de activos, o el importe de las pérdidas por deterioro reconocidas</w:t>
      </w:r>
      <w:r w:rsidRPr="006A65AB">
        <w:rPr>
          <w:rFonts w:cs="Calibri"/>
          <w:b/>
        </w:rPr>
        <w:t>:</w:t>
      </w:r>
    </w:p>
    <w:p w14:paraId="0A4AD650" w14:textId="77777777" w:rsidR="0016736C" w:rsidRDefault="0016736C" w:rsidP="0016736C">
      <w:pPr>
        <w:spacing w:after="0"/>
        <w:jc w:val="both"/>
        <w:rPr>
          <w:rFonts w:eastAsia="Times New Roman" w:cs="Arial"/>
          <w:szCs w:val="16"/>
        </w:rPr>
      </w:pPr>
    </w:p>
    <w:p w14:paraId="2B914A04" w14:textId="2632EA14" w:rsidR="007D1E76" w:rsidRDefault="0016736C" w:rsidP="0016736C">
      <w:pPr>
        <w:spacing w:after="0"/>
        <w:jc w:val="both"/>
        <w:rPr>
          <w:rFonts w:cs="Calibri"/>
        </w:rPr>
      </w:pPr>
      <w:r w:rsidRPr="00E53271">
        <w:rPr>
          <w:rFonts w:eastAsia="Times New Roman" w:cs="Arial"/>
          <w:szCs w:val="16"/>
        </w:rPr>
        <w:t>Esta nota se presenta en el reporte "Nota del Analítico de Activo"</w:t>
      </w:r>
    </w:p>
    <w:p w14:paraId="7C1AAB84" w14:textId="77777777" w:rsidR="0016736C" w:rsidRPr="00E74967" w:rsidRDefault="0016736C" w:rsidP="00CB41C4">
      <w:pPr>
        <w:tabs>
          <w:tab w:val="left" w:leader="underscore" w:pos="9639"/>
        </w:tabs>
        <w:spacing w:after="0" w:line="240" w:lineRule="auto"/>
        <w:jc w:val="both"/>
        <w:rPr>
          <w:rFonts w:cs="Calibri"/>
        </w:rPr>
      </w:pPr>
    </w:p>
    <w:p w14:paraId="7FD13FA2" w14:textId="4685F103"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b) </w:t>
      </w:r>
      <w:r w:rsidR="00AA2768" w:rsidRPr="006A65AB">
        <w:rPr>
          <w:rFonts w:cs="Calibri"/>
          <w:b/>
        </w:rPr>
        <w:t>Cambios en el porcentaje de depreciación y amortización y en el valor de los activos ocasionado por deterioro</w:t>
      </w:r>
      <w:r w:rsidRPr="006A65AB">
        <w:rPr>
          <w:rFonts w:cs="Calibri"/>
          <w:b/>
        </w:rPr>
        <w:t>:</w:t>
      </w:r>
    </w:p>
    <w:p w14:paraId="1983354C" w14:textId="26C7412A" w:rsidR="007D1E76" w:rsidRDefault="007D1E76" w:rsidP="00CB41C4">
      <w:pPr>
        <w:tabs>
          <w:tab w:val="left" w:leader="underscore" w:pos="9639"/>
        </w:tabs>
        <w:spacing w:after="0" w:line="240" w:lineRule="auto"/>
        <w:jc w:val="both"/>
        <w:rPr>
          <w:rFonts w:cs="Calibri"/>
        </w:rPr>
      </w:pPr>
    </w:p>
    <w:p w14:paraId="451BB715" w14:textId="534B7DC4" w:rsidR="0016736C" w:rsidRPr="00E74967" w:rsidRDefault="0016736C" w:rsidP="00CB41C4">
      <w:pPr>
        <w:tabs>
          <w:tab w:val="left" w:leader="underscore" w:pos="9639"/>
        </w:tabs>
        <w:spacing w:after="0" w:line="240" w:lineRule="auto"/>
        <w:jc w:val="both"/>
        <w:rPr>
          <w:rFonts w:cs="Calibri"/>
        </w:rPr>
      </w:pPr>
      <w:r w:rsidRPr="00E53271">
        <w:rPr>
          <w:rFonts w:eastAsia="Times New Roman" w:cs="Arial"/>
          <w:szCs w:val="16"/>
        </w:rPr>
        <w:t>Esta nota se presenta en el reporte "Nota del Analítico de Activo"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c) Importe de los gastos capitalizados en el ejercicio, tanto financieros como de investigación y desarrollo:</w:t>
      </w:r>
    </w:p>
    <w:p w14:paraId="389FC7C1" w14:textId="77777777" w:rsidR="007D1E76" w:rsidRDefault="007D1E76" w:rsidP="00CB41C4">
      <w:pPr>
        <w:tabs>
          <w:tab w:val="left" w:leader="underscore" w:pos="9639"/>
        </w:tabs>
        <w:spacing w:after="0" w:line="240" w:lineRule="auto"/>
        <w:jc w:val="both"/>
        <w:rPr>
          <w:rFonts w:cs="Calibri"/>
        </w:rPr>
      </w:pPr>
    </w:p>
    <w:p w14:paraId="6C413D16" w14:textId="596D52B4" w:rsidR="000F0656" w:rsidRPr="00E53271" w:rsidRDefault="000F0656" w:rsidP="000F0656">
      <w:pPr>
        <w:spacing w:after="0"/>
        <w:jc w:val="both"/>
        <w:rPr>
          <w:rFonts w:cs="Calibri"/>
          <w:b/>
        </w:rPr>
      </w:pPr>
      <w:r>
        <w:rPr>
          <w:rFonts w:eastAsia="Times New Roman" w:cs="Arial"/>
          <w:szCs w:val="16"/>
        </w:rPr>
        <w:t xml:space="preserve">En este ejercicio no se han capitalizado gastos </w:t>
      </w:r>
      <w:r>
        <w:rPr>
          <w:rFonts w:cs="Calibri"/>
        </w:rPr>
        <w:t>financieros</w:t>
      </w:r>
      <w:r w:rsidRPr="00E74967">
        <w:rPr>
          <w:rFonts w:cs="Calibri"/>
        </w:rPr>
        <w:t xml:space="preserve"> de investigación y desarrollo</w:t>
      </w:r>
      <w:r>
        <w:rPr>
          <w:rFonts w:eastAsia="Times New Roman" w:cs="Arial"/>
          <w:szCs w:val="16"/>
        </w:rPr>
        <w:t>.</w:t>
      </w:r>
    </w:p>
    <w:p w14:paraId="27471018" w14:textId="77777777" w:rsidR="000F0656" w:rsidRPr="00E74967" w:rsidRDefault="000F0656" w:rsidP="00CB41C4">
      <w:pPr>
        <w:tabs>
          <w:tab w:val="left" w:leader="underscore" w:pos="9639"/>
        </w:tabs>
        <w:spacing w:after="0" w:line="240" w:lineRule="auto"/>
        <w:jc w:val="both"/>
        <w:rPr>
          <w:rFonts w:cs="Calibri"/>
        </w:rPr>
      </w:pPr>
    </w:p>
    <w:p w14:paraId="64BF173F"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d) Rie</w:t>
      </w:r>
      <w:r w:rsidR="001973A2" w:rsidRPr="006A65AB">
        <w:rPr>
          <w:rFonts w:cs="Calibri"/>
          <w:b/>
        </w:rPr>
        <w:t>s</w:t>
      </w:r>
      <w:r w:rsidRPr="006A65AB">
        <w:rPr>
          <w:rFonts w:cs="Calibri"/>
          <w:b/>
        </w:rPr>
        <w:t>gos por tipo de cambio o tipo de interés de las inversiones financieras:</w:t>
      </w:r>
    </w:p>
    <w:p w14:paraId="6C7DF781" w14:textId="77777777" w:rsidR="000F0656" w:rsidRDefault="000F0656" w:rsidP="000F0656">
      <w:pPr>
        <w:spacing w:after="0"/>
        <w:jc w:val="both"/>
        <w:rPr>
          <w:rFonts w:eastAsia="Times New Roman" w:cs="Arial"/>
          <w:szCs w:val="16"/>
        </w:rPr>
      </w:pPr>
    </w:p>
    <w:p w14:paraId="77EA2442" w14:textId="77777777" w:rsidR="000F0656" w:rsidRPr="00E53271" w:rsidRDefault="000F0656" w:rsidP="000F0656">
      <w:pPr>
        <w:spacing w:after="0"/>
        <w:jc w:val="both"/>
        <w:rPr>
          <w:rFonts w:cs="Calibri"/>
        </w:rPr>
      </w:pPr>
      <w:r w:rsidRPr="00E53271">
        <w:rPr>
          <w:rFonts w:eastAsia="Times New Roman" w:cs="Arial"/>
          <w:szCs w:val="16"/>
        </w:rPr>
        <w:t xml:space="preserve">No se tienen riesgos por tipo de cambio o tipo de interés en las inversiones del municipio. </w:t>
      </w:r>
    </w:p>
    <w:p w14:paraId="378CEFB3" w14:textId="77777777" w:rsidR="000F0656" w:rsidRDefault="000F0656" w:rsidP="00CB41C4">
      <w:pPr>
        <w:tabs>
          <w:tab w:val="left" w:leader="underscore" w:pos="9639"/>
        </w:tabs>
        <w:spacing w:after="0" w:line="240" w:lineRule="auto"/>
        <w:jc w:val="both"/>
        <w:rPr>
          <w:rFonts w:cs="Calibri"/>
          <w:b/>
        </w:rPr>
      </w:pPr>
    </w:p>
    <w:p w14:paraId="114D8167"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e) Valor activado en el ejercicio de los bienes construidos por la entidad:</w:t>
      </w:r>
    </w:p>
    <w:p w14:paraId="2E17CB0A" w14:textId="77777777" w:rsidR="007D1E76" w:rsidRDefault="007D1E76" w:rsidP="00CB41C4">
      <w:pPr>
        <w:tabs>
          <w:tab w:val="left" w:leader="underscore" w:pos="9639"/>
        </w:tabs>
        <w:spacing w:after="0" w:line="240" w:lineRule="auto"/>
        <w:jc w:val="both"/>
        <w:rPr>
          <w:rFonts w:cs="Calibri"/>
          <w:b/>
        </w:rPr>
      </w:pPr>
    </w:p>
    <w:p w14:paraId="07FDE63B" w14:textId="77777777" w:rsidR="000F0656" w:rsidRPr="00E53271" w:rsidRDefault="000F0656" w:rsidP="000F0656">
      <w:pPr>
        <w:spacing w:after="0"/>
        <w:jc w:val="both"/>
        <w:rPr>
          <w:rFonts w:cs="Calibri"/>
          <w:b/>
        </w:rPr>
      </w:pPr>
      <w:r w:rsidRPr="00E53271">
        <w:rPr>
          <w:rFonts w:eastAsia="Times New Roman" w:cs="Arial"/>
          <w:szCs w:val="16"/>
        </w:rPr>
        <w:t>Esta nota no le aplica al municipio.</w:t>
      </w:r>
    </w:p>
    <w:p w14:paraId="5351E653" w14:textId="77777777" w:rsidR="000F0656" w:rsidRPr="00E74967" w:rsidRDefault="000F0656" w:rsidP="00CB41C4">
      <w:pPr>
        <w:tabs>
          <w:tab w:val="left" w:leader="underscore" w:pos="9639"/>
        </w:tabs>
        <w:spacing w:after="0" w:line="240" w:lineRule="auto"/>
        <w:jc w:val="both"/>
        <w:rPr>
          <w:rFonts w:cs="Calibri"/>
          <w:b/>
        </w:rPr>
      </w:pPr>
    </w:p>
    <w:p w14:paraId="61D4FD0C"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Default="007D1E76" w:rsidP="00CB41C4">
      <w:pPr>
        <w:tabs>
          <w:tab w:val="left" w:leader="underscore" w:pos="9639"/>
        </w:tabs>
        <w:spacing w:after="0" w:line="240" w:lineRule="auto"/>
        <w:jc w:val="both"/>
        <w:rPr>
          <w:rFonts w:cs="Calibri"/>
        </w:rPr>
      </w:pPr>
    </w:p>
    <w:p w14:paraId="2FDE6A17" w14:textId="77777777" w:rsidR="000F0656" w:rsidRPr="00E53271" w:rsidRDefault="000F0656" w:rsidP="000F0656">
      <w:pPr>
        <w:spacing w:after="0"/>
        <w:jc w:val="both"/>
        <w:rPr>
          <w:rFonts w:cs="Calibri"/>
        </w:rPr>
      </w:pPr>
      <w:r w:rsidRPr="00E53271">
        <w:rPr>
          <w:rFonts w:eastAsia="Times New Roman" w:cs="Arial"/>
          <w:szCs w:val="16"/>
        </w:rPr>
        <w:t>No se cuenta con otras circunstancias que afecten el activo del municipio.</w:t>
      </w:r>
    </w:p>
    <w:p w14:paraId="795E4087" w14:textId="77777777" w:rsidR="000F0656" w:rsidRPr="00E74967" w:rsidRDefault="000F0656" w:rsidP="00CB41C4">
      <w:pPr>
        <w:tabs>
          <w:tab w:val="left" w:leader="underscore" w:pos="9639"/>
        </w:tabs>
        <w:spacing w:after="0" w:line="240" w:lineRule="auto"/>
        <w:jc w:val="both"/>
        <w:rPr>
          <w:rFonts w:cs="Calibri"/>
        </w:rPr>
      </w:pPr>
    </w:p>
    <w:p w14:paraId="20E72A8C" w14:textId="77777777" w:rsidR="006A65AB" w:rsidRDefault="006A65AB" w:rsidP="00CB41C4">
      <w:pPr>
        <w:tabs>
          <w:tab w:val="left" w:leader="underscore" w:pos="9639"/>
        </w:tabs>
        <w:spacing w:after="0" w:line="240" w:lineRule="auto"/>
        <w:jc w:val="both"/>
        <w:rPr>
          <w:rFonts w:cs="Calibri"/>
          <w:b/>
        </w:rPr>
      </w:pPr>
    </w:p>
    <w:p w14:paraId="5B1593C0" w14:textId="23377098" w:rsidR="007D1E76" w:rsidRPr="006A65AB" w:rsidRDefault="007D1E76" w:rsidP="00CB41C4">
      <w:pPr>
        <w:tabs>
          <w:tab w:val="left" w:leader="underscore" w:pos="9639"/>
        </w:tabs>
        <w:spacing w:after="0" w:line="240" w:lineRule="auto"/>
        <w:jc w:val="both"/>
        <w:rPr>
          <w:rFonts w:cs="Calibri"/>
          <w:b/>
        </w:rPr>
      </w:pPr>
      <w:r w:rsidRPr="006A65AB">
        <w:rPr>
          <w:rFonts w:cs="Calibri"/>
          <w:b/>
        </w:rPr>
        <w:t>g) Desmantelamiento de Activos, procedimientos, implicaciones, efectos contables:</w:t>
      </w:r>
    </w:p>
    <w:p w14:paraId="40A5560A" w14:textId="77777777" w:rsidR="000F0656" w:rsidRDefault="000F0656" w:rsidP="000F0656">
      <w:pPr>
        <w:spacing w:after="0"/>
        <w:jc w:val="both"/>
        <w:rPr>
          <w:rFonts w:eastAsia="Times New Roman" w:cs="Arial"/>
          <w:szCs w:val="16"/>
        </w:rPr>
      </w:pPr>
    </w:p>
    <w:p w14:paraId="0804F12F" w14:textId="77777777" w:rsidR="000F0656" w:rsidRPr="00E53271" w:rsidRDefault="000F0656" w:rsidP="000F0656">
      <w:pPr>
        <w:spacing w:after="0"/>
        <w:jc w:val="both"/>
        <w:rPr>
          <w:rFonts w:cs="Calibri"/>
        </w:rPr>
      </w:pPr>
      <w:r w:rsidRPr="00E53271">
        <w:rPr>
          <w:rFonts w:eastAsia="Times New Roman" w:cs="Arial"/>
          <w:szCs w:val="16"/>
        </w:rPr>
        <w:t>En el periodo no se desmantelaron activos, con implicaciones o efectos contables propiedad del municipio.</w:t>
      </w:r>
    </w:p>
    <w:p w14:paraId="368ADB1E" w14:textId="77777777" w:rsidR="000F0656" w:rsidRDefault="000F0656" w:rsidP="00CB41C4">
      <w:pPr>
        <w:tabs>
          <w:tab w:val="left" w:leader="underscore" w:pos="9639"/>
        </w:tabs>
        <w:spacing w:after="0" w:line="240" w:lineRule="auto"/>
        <w:jc w:val="both"/>
        <w:rPr>
          <w:rFonts w:cs="Calibri"/>
          <w:b/>
        </w:rPr>
      </w:pPr>
    </w:p>
    <w:p w14:paraId="6543D74F"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h) Administración de activos; planeación con el objetivo de que el ente los utilice de manera más efectiva:</w:t>
      </w:r>
    </w:p>
    <w:p w14:paraId="78C27F78" w14:textId="77777777" w:rsidR="000F0656" w:rsidRDefault="000F0656" w:rsidP="000F0656">
      <w:pPr>
        <w:spacing w:after="0"/>
        <w:jc w:val="both"/>
        <w:rPr>
          <w:rFonts w:eastAsia="Times New Roman" w:cs="Arial"/>
          <w:szCs w:val="16"/>
        </w:rPr>
      </w:pPr>
    </w:p>
    <w:p w14:paraId="6B60B9BD" w14:textId="77777777" w:rsidR="000F0656" w:rsidRPr="00100D56" w:rsidRDefault="000F0656" w:rsidP="000F0656">
      <w:pPr>
        <w:spacing w:after="0"/>
        <w:jc w:val="both"/>
        <w:rPr>
          <w:rFonts w:eastAsia="Times New Roman" w:cs="Arial"/>
          <w:szCs w:val="16"/>
        </w:rPr>
      </w:pPr>
      <w:r w:rsidRPr="00894D6C">
        <w:rPr>
          <w:rFonts w:eastAsia="Times New Roman" w:cs="Arial"/>
          <w:szCs w:val="16"/>
        </w:rPr>
        <w:t>La Coordinación de Control Patrimonial, emite los resguardos correspondientes, realiza un inventario físico de los bienes muebles propiedad del municipio una vez al año.</w:t>
      </w:r>
    </w:p>
    <w:p w14:paraId="76A7ECE1" w14:textId="0E18E047" w:rsidR="007D1E76" w:rsidRPr="00E74967" w:rsidRDefault="007D1E76"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a) Inversiones en valores:</w:t>
      </w:r>
    </w:p>
    <w:p w14:paraId="002BBDF9" w14:textId="77777777" w:rsidR="000F0656" w:rsidRDefault="000F0656" w:rsidP="000F0656">
      <w:pPr>
        <w:spacing w:after="0"/>
        <w:jc w:val="both"/>
        <w:rPr>
          <w:rFonts w:eastAsia="Times New Roman" w:cs="Arial"/>
          <w:szCs w:val="16"/>
        </w:rPr>
      </w:pPr>
    </w:p>
    <w:p w14:paraId="34F6EE96" w14:textId="77777777" w:rsidR="000F0656" w:rsidRPr="00894D6C" w:rsidRDefault="000F0656" w:rsidP="000F0656">
      <w:pPr>
        <w:spacing w:after="0"/>
        <w:jc w:val="both"/>
        <w:rPr>
          <w:rFonts w:cs="Calibri"/>
        </w:rPr>
      </w:pPr>
      <w:r w:rsidRPr="00894D6C">
        <w:rPr>
          <w:rFonts w:eastAsia="Times New Roman" w:cs="Arial"/>
          <w:szCs w:val="16"/>
        </w:rPr>
        <w:t xml:space="preserve">No se tienen inversiones en valores. </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b) Patrimonio de Organismos </w:t>
      </w:r>
      <w:r w:rsidR="00B073DE" w:rsidRPr="006A65AB">
        <w:rPr>
          <w:rFonts w:cs="Calibri"/>
          <w:b/>
        </w:rPr>
        <w:t>D</w:t>
      </w:r>
      <w:r w:rsidRPr="006A65AB">
        <w:rPr>
          <w:rFonts w:cs="Calibri"/>
          <w:b/>
        </w:rPr>
        <w:t>escentralizados de Control Presupuestario Indirecto:</w:t>
      </w:r>
    </w:p>
    <w:p w14:paraId="2CF9F431" w14:textId="77777777" w:rsidR="000F0656" w:rsidRDefault="000F0656" w:rsidP="000F0656">
      <w:pPr>
        <w:spacing w:after="0"/>
        <w:jc w:val="both"/>
        <w:rPr>
          <w:rFonts w:eastAsia="Times New Roman" w:cs="Arial"/>
          <w:szCs w:val="16"/>
        </w:rPr>
      </w:pPr>
    </w:p>
    <w:p w14:paraId="579FEAA7" w14:textId="77777777" w:rsidR="000F0656" w:rsidRPr="00894D6C" w:rsidRDefault="000F0656" w:rsidP="000F0656">
      <w:pPr>
        <w:spacing w:after="0"/>
        <w:jc w:val="both"/>
        <w:rPr>
          <w:rFonts w:cs="Calibri"/>
        </w:rPr>
      </w:pPr>
      <w:r w:rsidRPr="00894D6C">
        <w:rPr>
          <w:rFonts w:eastAsia="Times New Roman" w:cs="Arial"/>
          <w:szCs w:val="16"/>
        </w:rPr>
        <w:t>No se tiene el control presupuestario directo de patrimonio de organismos descentralizados.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c) Inversiones en empresas de participación mayoritaria:</w:t>
      </w:r>
    </w:p>
    <w:p w14:paraId="438427FE" w14:textId="77777777" w:rsidR="000F0656" w:rsidRDefault="000F0656" w:rsidP="000F0656">
      <w:pPr>
        <w:spacing w:after="0"/>
        <w:jc w:val="both"/>
        <w:rPr>
          <w:rFonts w:eastAsia="Times New Roman" w:cs="Arial"/>
          <w:szCs w:val="16"/>
        </w:rPr>
      </w:pPr>
    </w:p>
    <w:p w14:paraId="5428FD24" w14:textId="77777777" w:rsidR="000F0656" w:rsidRPr="00894D6C" w:rsidRDefault="000F0656" w:rsidP="000F0656">
      <w:pPr>
        <w:spacing w:after="0"/>
        <w:jc w:val="both"/>
        <w:rPr>
          <w:rFonts w:cs="Calibri"/>
        </w:rPr>
      </w:pPr>
      <w:r w:rsidRPr="00894D6C">
        <w:rPr>
          <w:rFonts w:eastAsia="Times New Roman" w:cs="Arial"/>
          <w:szCs w:val="16"/>
        </w:rPr>
        <w:t>No se tienen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d) Inversiones en empresas de participación minoritaria:</w:t>
      </w:r>
    </w:p>
    <w:p w14:paraId="54EEEB64" w14:textId="77777777" w:rsidR="000F0656" w:rsidRDefault="000F0656" w:rsidP="000F0656">
      <w:pPr>
        <w:spacing w:after="0"/>
        <w:jc w:val="both"/>
        <w:rPr>
          <w:rFonts w:eastAsia="Times New Roman" w:cs="Arial"/>
          <w:szCs w:val="16"/>
        </w:rPr>
      </w:pPr>
    </w:p>
    <w:p w14:paraId="37ABCD47" w14:textId="77777777" w:rsidR="000F0656" w:rsidRPr="00894D6C" w:rsidRDefault="000F0656" w:rsidP="000F0656">
      <w:pPr>
        <w:spacing w:after="0"/>
        <w:jc w:val="both"/>
        <w:rPr>
          <w:rFonts w:cs="Calibri"/>
        </w:rPr>
      </w:pPr>
      <w:r w:rsidRPr="00894D6C">
        <w:rPr>
          <w:rFonts w:eastAsia="Times New Roman" w:cs="Arial"/>
          <w:szCs w:val="16"/>
        </w:rPr>
        <w:t>No se tienen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e) Patrimonio de </w:t>
      </w:r>
      <w:r w:rsidR="006B1ADF" w:rsidRPr="006A65AB">
        <w:rPr>
          <w:rFonts w:cs="Calibri"/>
          <w:b/>
        </w:rPr>
        <w:t>O</w:t>
      </w:r>
      <w:r w:rsidRPr="006A65AB">
        <w:rPr>
          <w:rFonts w:cs="Calibri"/>
          <w:b/>
        </w:rPr>
        <w:t xml:space="preserve">rganismos </w:t>
      </w:r>
      <w:r w:rsidR="006B1ADF" w:rsidRPr="006A65AB">
        <w:rPr>
          <w:rFonts w:cs="Calibri"/>
          <w:b/>
        </w:rPr>
        <w:t>D</w:t>
      </w:r>
      <w:r w:rsidRPr="006A65AB">
        <w:rPr>
          <w:rFonts w:cs="Calibri"/>
          <w:b/>
        </w:rPr>
        <w:t xml:space="preserve">escentralizados de control </w:t>
      </w:r>
      <w:r w:rsidR="006B1ADF" w:rsidRPr="006A65AB">
        <w:rPr>
          <w:rFonts w:cs="Calibri"/>
          <w:b/>
        </w:rPr>
        <w:t>P</w:t>
      </w:r>
      <w:r w:rsidRPr="006A65AB">
        <w:rPr>
          <w:rFonts w:cs="Calibri"/>
          <w:b/>
        </w:rPr>
        <w:t xml:space="preserve">resupuestario </w:t>
      </w:r>
      <w:r w:rsidR="006B1ADF" w:rsidRPr="006A65AB">
        <w:rPr>
          <w:rFonts w:cs="Calibri"/>
          <w:b/>
        </w:rPr>
        <w:t>D</w:t>
      </w:r>
      <w:r w:rsidRPr="006A65AB">
        <w:rPr>
          <w:rFonts w:cs="Calibri"/>
          <w:b/>
        </w:rPr>
        <w:t>irecto, según corresponda:</w:t>
      </w:r>
    </w:p>
    <w:p w14:paraId="0FAB857B" w14:textId="77777777" w:rsidR="000F0656" w:rsidRDefault="000F0656" w:rsidP="000F0656">
      <w:pPr>
        <w:spacing w:after="0"/>
        <w:jc w:val="both"/>
        <w:rPr>
          <w:rFonts w:eastAsia="Times New Roman" w:cs="Arial"/>
          <w:szCs w:val="16"/>
        </w:rPr>
      </w:pPr>
    </w:p>
    <w:p w14:paraId="20559E6D" w14:textId="77777777" w:rsidR="000F0656" w:rsidRPr="00894D6C" w:rsidRDefault="000F0656" w:rsidP="000F0656">
      <w:pPr>
        <w:spacing w:after="0"/>
        <w:jc w:val="both"/>
        <w:rPr>
          <w:rFonts w:cs="Calibri"/>
        </w:rPr>
      </w:pPr>
      <w:r w:rsidRPr="00894D6C">
        <w:rPr>
          <w:rFonts w:eastAsia="Times New Roman" w:cs="Arial"/>
          <w:szCs w:val="16"/>
        </w:rPr>
        <w:t>No se tiene el control presupuestario directo de patrimonio de organismos descentralizados.</w:t>
      </w:r>
    </w:p>
    <w:p w14:paraId="56C3B8CD" w14:textId="77777777" w:rsidR="007D1E76" w:rsidRDefault="007D1E76" w:rsidP="00CB41C4">
      <w:pPr>
        <w:tabs>
          <w:tab w:val="left" w:leader="underscore" w:pos="9639"/>
        </w:tabs>
        <w:spacing w:after="0" w:line="240" w:lineRule="auto"/>
        <w:jc w:val="both"/>
        <w:rPr>
          <w:rFonts w:cs="Calibri"/>
        </w:rPr>
      </w:pPr>
    </w:p>
    <w:p w14:paraId="646DCD66" w14:textId="77777777" w:rsidR="00E16610" w:rsidRPr="00E74967" w:rsidRDefault="00E16610" w:rsidP="00CB41C4">
      <w:pPr>
        <w:tabs>
          <w:tab w:val="left" w:leader="underscore" w:pos="9639"/>
        </w:tabs>
        <w:spacing w:after="0" w:line="240" w:lineRule="auto"/>
        <w:jc w:val="both"/>
        <w:rPr>
          <w:rFonts w:cs="Calibri"/>
        </w:rPr>
      </w:pPr>
    </w:p>
    <w:p w14:paraId="513A1948" w14:textId="77777777" w:rsidR="006A65AB" w:rsidRDefault="006A65AB" w:rsidP="000C3365">
      <w:pPr>
        <w:pStyle w:val="Ttulo2"/>
        <w:rPr>
          <w:rFonts w:asciiTheme="minorHAnsi" w:hAnsiTheme="minorHAnsi" w:cstheme="minorHAnsi"/>
          <w:b/>
          <w:color w:val="auto"/>
          <w:sz w:val="22"/>
        </w:rPr>
      </w:pPr>
    </w:p>
    <w:p w14:paraId="2D957F4B" w14:textId="162980AD" w:rsidR="007D1E76" w:rsidRPr="000C3365" w:rsidRDefault="002722DD" w:rsidP="000C3365">
      <w:pPr>
        <w:pStyle w:val="Ttulo2"/>
        <w:rPr>
          <w:rFonts w:asciiTheme="minorHAnsi" w:hAnsiTheme="minorHAnsi" w:cstheme="minorHAnsi"/>
          <w:b/>
          <w:color w:val="auto"/>
          <w:sz w:val="22"/>
        </w:rPr>
      </w:pPr>
      <w:bookmarkStart w:id="10" w:name="_Toc196465384"/>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10"/>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a) Por ramo administrativo que los reporta:</w:t>
      </w:r>
    </w:p>
    <w:p w14:paraId="7D5069C6" w14:textId="77777777" w:rsidR="000F0656" w:rsidRDefault="000F0656" w:rsidP="000F0656">
      <w:pPr>
        <w:spacing w:after="0"/>
        <w:jc w:val="both"/>
        <w:rPr>
          <w:rFonts w:eastAsia="Times New Roman" w:cs="Arial"/>
          <w:szCs w:val="16"/>
        </w:rPr>
      </w:pPr>
    </w:p>
    <w:p w14:paraId="4093B340" w14:textId="77777777" w:rsidR="000F0656" w:rsidRPr="00894D6C" w:rsidRDefault="000F0656" w:rsidP="000F0656">
      <w:pPr>
        <w:spacing w:after="0"/>
        <w:jc w:val="both"/>
        <w:rPr>
          <w:rFonts w:cs="Calibri"/>
        </w:rPr>
      </w:pPr>
      <w:r w:rsidRPr="00894D6C">
        <w:rPr>
          <w:rFonts w:eastAsia="Times New Roman" w:cs="Arial"/>
          <w:szCs w:val="16"/>
        </w:rPr>
        <w:t>Al periodo no se tienen Fideicomisos, mandatos y otros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b) Enlistar los de mayor monto de disponibilidad, relacionando aquéllos que conforman el 80% de las disponibilidades:</w:t>
      </w:r>
    </w:p>
    <w:p w14:paraId="3F999531" w14:textId="77777777" w:rsidR="000F0656" w:rsidRDefault="000F0656" w:rsidP="000F0656">
      <w:pPr>
        <w:spacing w:after="0"/>
        <w:jc w:val="both"/>
        <w:rPr>
          <w:rFonts w:eastAsia="Times New Roman" w:cs="Arial"/>
          <w:szCs w:val="16"/>
        </w:rPr>
      </w:pPr>
    </w:p>
    <w:p w14:paraId="684BD0E3" w14:textId="77777777" w:rsidR="000F0656" w:rsidRDefault="000F0656" w:rsidP="000F0656">
      <w:pPr>
        <w:spacing w:after="0"/>
        <w:jc w:val="both"/>
        <w:rPr>
          <w:rFonts w:eastAsia="Times New Roman" w:cs="Arial"/>
          <w:szCs w:val="16"/>
        </w:rPr>
      </w:pPr>
      <w:r w:rsidRPr="00894D6C">
        <w:rPr>
          <w:rFonts w:eastAsia="Times New Roman" w:cs="Arial"/>
          <w:szCs w:val="16"/>
        </w:rPr>
        <w:t>Al periodo no se tienen Fideicomisos, mandatos y otros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11" w:name="_Toc196465385"/>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11"/>
    </w:p>
    <w:p w14:paraId="2B90D2EC" w14:textId="77777777" w:rsidR="007D1E76" w:rsidRPr="00E74967" w:rsidRDefault="007D1E76" w:rsidP="00CB41C4">
      <w:pPr>
        <w:tabs>
          <w:tab w:val="left" w:leader="underscore" w:pos="9639"/>
        </w:tabs>
        <w:spacing w:after="0" w:line="240" w:lineRule="auto"/>
        <w:jc w:val="both"/>
        <w:rPr>
          <w:rFonts w:cs="Calibri"/>
        </w:rPr>
      </w:pPr>
    </w:p>
    <w:p w14:paraId="3F6257DB" w14:textId="00518F1A" w:rsidR="001E1EDE" w:rsidRPr="00BB7FDF" w:rsidRDefault="007D1E76" w:rsidP="00BB7FDF">
      <w:pPr>
        <w:pStyle w:val="Prrafodelista"/>
        <w:numPr>
          <w:ilvl w:val="0"/>
          <w:numId w:val="2"/>
        </w:numPr>
        <w:tabs>
          <w:tab w:val="left" w:leader="underscore" w:pos="9639"/>
        </w:tabs>
        <w:spacing w:after="0" w:line="240" w:lineRule="auto"/>
        <w:jc w:val="both"/>
        <w:rPr>
          <w:rFonts w:cs="Calibri"/>
        </w:rPr>
      </w:pPr>
      <w:r w:rsidRPr="00726802">
        <w:rPr>
          <w:rFonts w:cs="Calibri"/>
        </w:rPr>
        <w:t>Análisis del comportamiento de la recaudación correspondiente al ente público o cualquier tipo de ingreso, de forma separada los ingresos locales de los federales:</w:t>
      </w:r>
    </w:p>
    <w:p w14:paraId="3AD14C05" w14:textId="77777777" w:rsidR="001E1EDE" w:rsidRPr="00726802" w:rsidRDefault="001E1EDE" w:rsidP="001E1EDE">
      <w:pPr>
        <w:pStyle w:val="Prrafodelista"/>
        <w:tabs>
          <w:tab w:val="left" w:leader="underscore" w:pos="9639"/>
        </w:tabs>
        <w:spacing w:after="0" w:line="240" w:lineRule="auto"/>
        <w:jc w:val="both"/>
        <w:rPr>
          <w:rFonts w:cs="Calibri"/>
        </w:rPr>
      </w:pPr>
    </w:p>
    <w:tbl>
      <w:tblPr>
        <w:tblW w:w="5740" w:type="dxa"/>
        <w:jc w:val="center"/>
        <w:tblCellMar>
          <w:left w:w="70" w:type="dxa"/>
          <w:right w:w="70" w:type="dxa"/>
        </w:tblCellMar>
        <w:tblLook w:val="04A0" w:firstRow="1" w:lastRow="0" w:firstColumn="1" w:lastColumn="0" w:noHBand="0" w:noVBand="1"/>
      </w:tblPr>
      <w:tblGrid>
        <w:gridCol w:w="3180"/>
        <w:gridCol w:w="2560"/>
      </w:tblGrid>
      <w:tr w:rsidR="00025CCE" w:rsidRPr="00025CCE" w14:paraId="5F722C6A" w14:textId="77777777" w:rsidTr="00025CCE">
        <w:trPr>
          <w:trHeight w:val="465"/>
          <w:jc w:val="center"/>
        </w:trPr>
        <w:tc>
          <w:tcPr>
            <w:tcW w:w="5740" w:type="dxa"/>
            <w:gridSpan w:val="2"/>
            <w:tcBorders>
              <w:top w:val="single" w:sz="4" w:space="0" w:color="auto"/>
              <w:left w:val="single" w:sz="4" w:space="0" w:color="auto"/>
              <w:bottom w:val="single" w:sz="4" w:space="0" w:color="auto"/>
              <w:right w:val="single" w:sz="4" w:space="0" w:color="auto"/>
            </w:tcBorders>
            <w:shd w:val="clear" w:color="000000" w:fill="3A7B98"/>
            <w:vAlign w:val="center"/>
            <w:hideMark/>
          </w:tcPr>
          <w:p w14:paraId="6B13535E" w14:textId="77777777" w:rsidR="00025CCE" w:rsidRPr="00025CCE" w:rsidRDefault="00025CCE" w:rsidP="00025CCE">
            <w:pPr>
              <w:spacing w:after="0" w:line="240" w:lineRule="auto"/>
              <w:jc w:val="center"/>
              <w:rPr>
                <w:rFonts w:ascii="Arial" w:eastAsia="Times New Roman" w:hAnsi="Arial" w:cs="Arial"/>
                <w:b/>
                <w:bCs/>
                <w:color w:val="FFFFFF"/>
                <w:sz w:val="16"/>
                <w:szCs w:val="16"/>
                <w:lang w:eastAsia="es-MX"/>
              </w:rPr>
            </w:pPr>
            <w:r w:rsidRPr="00025CCE">
              <w:rPr>
                <w:rFonts w:ascii="Arial" w:eastAsia="Times New Roman" w:hAnsi="Arial" w:cs="Arial"/>
                <w:b/>
                <w:bCs/>
                <w:color w:val="FFFFFF"/>
                <w:sz w:val="16"/>
                <w:szCs w:val="16"/>
                <w:lang w:eastAsia="es-MX"/>
              </w:rPr>
              <w:t>REPORTE DE RECAUDACIÓN</w:t>
            </w:r>
          </w:p>
        </w:tc>
      </w:tr>
      <w:tr w:rsidR="00025CCE" w:rsidRPr="00025CCE" w14:paraId="416C5A6C" w14:textId="77777777" w:rsidTr="00025CCE">
        <w:trPr>
          <w:trHeight w:val="31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3A1ED4AC"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IMPUESTOS</w:t>
            </w:r>
          </w:p>
        </w:tc>
        <w:tc>
          <w:tcPr>
            <w:tcW w:w="2560" w:type="dxa"/>
            <w:tcBorders>
              <w:top w:val="nil"/>
              <w:left w:val="nil"/>
              <w:bottom w:val="single" w:sz="4" w:space="0" w:color="auto"/>
              <w:right w:val="single" w:sz="4" w:space="0" w:color="auto"/>
            </w:tcBorders>
            <w:shd w:val="clear" w:color="auto" w:fill="auto"/>
            <w:noWrap/>
            <w:vAlign w:val="bottom"/>
            <w:hideMark/>
          </w:tcPr>
          <w:p w14:paraId="4BD18F1E" w14:textId="779375CD"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1</w:t>
            </w:r>
            <w:r w:rsidR="00340A3C">
              <w:rPr>
                <w:rFonts w:ascii="Arial" w:eastAsia="Times New Roman" w:hAnsi="Arial" w:cs="Arial"/>
                <w:sz w:val="16"/>
                <w:szCs w:val="16"/>
                <w:lang w:eastAsia="es-MX"/>
              </w:rPr>
              <w:t>08</w:t>
            </w:r>
            <w:r w:rsidRPr="00025CCE">
              <w:rPr>
                <w:rFonts w:ascii="Arial" w:eastAsia="Times New Roman" w:hAnsi="Arial" w:cs="Arial"/>
                <w:sz w:val="16"/>
                <w:szCs w:val="16"/>
                <w:lang w:eastAsia="es-MX"/>
              </w:rPr>
              <w:t>,</w:t>
            </w:r>
            <w:r w:rsidR="00340A3C">
              <w:rPr>
                <w:rFonts w:ascii="Arial" w:eastAsia="Times New Roman" w:hAnsi="Arial" w:cs="Arial"/>
                <w:sz w:val="16"/>
                <w:szCs w:val="16"/>
                <w:lang w:eastAsia="es-MX"/>
              </w:rPr>
              <w:t>376</w:t>
            </w:r>
            <w:r w:rsidRPr="00025CCE">
              <w:rPr>
                <w:rFonts w:ascii="Arial" w:eastAsia="Times New Roman" w:hAnsi="Arial" w:cs="Arial"/>
                <w:sz w:val="16"/>
                <w:szCs w:val="16"/>
                <w:lang w:eastAsia="es-MX"/>
              </w:rPr>
              <w:t>,</w:t>
            </w:r>
            <w:r w:rsidR="00340A3C">
              <w:rPr>
                <w:rFonts w:ascii="Arial" w:eastAsia="Times New Roman" w:hAnsi="Arial" w:cs="Arial"/>
                <w:sz w:val="16"/>
                <w:szCs w:val="16"/>
                <w:lang w:eastAsia="es-MX"/>
              </w:rPr>
              <w:t>594</w:t>
            </w:r>
            <w:r w:rsidRPr="00025CCE">
              <w:rPr>
                <w:rFonts w:ascii="Arial" w:eastAsia="Times New Roman" w:hAnsi="Arial" w:cs="Arial"/>
                <w:sz w:val="16"/>
                <w:szCs w:val="16"/>
                <w:lang w:eastAsia="es-MX"/>
              </w:rPr>
              <w:t>.</w:t>
            </w:r>
            <w:r w:rsidR="00340A3C">
              <w:rPr>
                <w:rFonts w:ascii="Arial" w:eastAsia="Times New Roman" w:hAnsi="Arial" w:cs="Arial"/>
                <w:sz w:val="16"/>
                <w:szCs w:val="16"/>
                <w:lang w:eastAsia="es-MX"/>
              </w:rPr>
              <w:t>47</w:t>
            </w:r>
          </w:p>
        </w:tc>
      </w:tr>
      <w:tr w:rsidR="00025CCE" w:rsidRPr="00025CCE" w14:paraId="07AAC61D" w14:textId="77777777" w:rsidTr="00025CCE">
        <w:trPr>
          <w:trHeight w:val="31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74D5C9FB"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DERECHOS</w:t>
            </w:r>
          </w:p>
        </w:tc>
        <w:tc>
          <w:tcPr>
            <w:tcW w:w="2560" w:type="dxa"/>
            <w:tcBorders>
              <w:top w:val="nil"/>
              <w:left w:val="nil"/>
              <w:bottom w:val="single" w:sz="4" w:space="0" w:color="auto"/>
              <w:right w:val="single" w:sz="4" w:space="0" w:color="auto"/>
            </w:tcBorders>
            <w:shd w:val="clear" w:color="auto" w:fill="auto"/>
            <w:noWrap/>
            <w:vAlign w:val="bottom"/>
            <w:hideMark/>
          </w:tcPr>
          <w:p w14:paraId="48B29FD7" w14:textId="568F13FF" w:rsidR="00025CCE" w:rsidRPr="00025CCE" w:rsidRDefault="00340A3C" w:rsidP="00025CCE">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32</w:t>
            </w:r>
            <w:r w:rsidR="00025CCE" w:rsidRPr="00025CCE">
              <w:rPr>
                <w:rFonts w:ascii="Arial" w:eastAsia="Times New Roman" w:hAnsi="Arial" w:cs="Arial"/>
                <w:sz w:val="16"/>
                <w:szCs w:val="16"/>
                <w:lang w:eastAsia="es-MX"/>
              </w:rPr>
              <w:t>,</w:t>
            </w:r>
            <w:r>
              <w:rPr>
                <w:rFonts w:ascii="Arial" w:eastAsia="Times New Roman" w:hAnsi="Arial" w:cs="Arial"/>
                <w:sz w:val="16"/>
                <w:szCs w:val="16"/>
                <w:lang w:eastAsia="es-MX"/>
              </w:rPr>
              <w:t>170</w:t>
            </w:r>
            <w:r w:rsidR="00025CCE" w:rsidRPr="00025CCE">
              <w:rPr>
                <w:rFonts w:ascii="Arial" w:eastAsia="Times New Roman" w:hAnsi="Arial" w:cs="Arial"/>
                <w:sz w:val="16"/>
                <w:szCs w:val="16"/>
                <w:lang w:eastAsia="es-MX"/>
              </w:rPr>
              <w:t>,</w:t>
            </w:r>
            <w:r>
              <w:rPr>
                <w:rFonts w:ascii="Arial" w:eastAsia="Times New Roman" w:hAnsi="Arial" w:cs="Arial"/>
                <w:sz w:val="16"/>
                <w:szCs w:val="16"/>
                <w:lang w:eastAsia="es-MX"/>
              </w:rPr>
              <w:t>064</w:t>
            </w:r>
            <w:r w:rsidR="00025CCE" w:rsidRPr="00025CCE">
              <w:rPr>
                <w:rFonts w:ascii="Arial" w:eastAsia="Times New Roman" w:hAnsi="Arial" w:cs="Arial"/>
                <w:sz w:val="16"/>
                <w:szCs w:val="16"/>
                <w:lang w:eastAsia="es-MX"/>
              </w:rPr>
              <w:t>.</w:t>
            </w:r>
            <w:r>
              <w:rPr>
                <w:rFonts w:ascii="Arial" w:eastAsia="Times New Roman" w:hAnsi="Arial" w:cs="Arial"/>
                <w:sz w:val="16"/>
                <w:szCs w:val="16"/>
                <w:lang w:eastAsia="es-MX"/>
              </w:rPr>
              <w:t>40</w:t>
            </w:r>
          </w:p>
        </w:tc>
      </w:tr>
      <w:tr w:rsidR="00025CCE" w:rsidRPr="00025CCE" w14:paraId="41506C2E" w14:textId="77777777" w:rsidTr="00025CCE">
        <w:trPr>
          <w:trHeight w:val="31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3D7EF331"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PRODUCTOS</w:t>
            </w:r>
          </w:p>
        </w:tc>
        <w:tc>
          <w:tcPr>
            <w:tcW w:w="2560" w:type="dxa"/>
            <w:tcBorders>
              <w:top w:val="nil"/>
              <w:left w:val="nil"/>
              <w:bottom w:val="single" w:sz="4" w:space="0" w:color="auto"/>
              <w:right w:val="single" w:sz="4" w:space="0" w:color="auto"/>
            </w:tcBorders>
            <w:shd w:val="clear" w:color="auto" w:fill="auto"/>
            <w:noWrap/>
            <w:vAlign w:val="bottom"/>
            <w:hideMark/>
          </w:tcPr>
          <w:p w14:paraId="4A448288" w14:textId="35862B76" w:rsidR="00025CCE" w:rsidRPr="00025CCE" w:rsidRDefault="00340A3C" w:rsidP="00025CCE">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3</w:t>
            </w:r>
            <w:r w:rsidR="00025CCE" w:rsidRPr="00025CCE">
              <w:rPr>
                <w:rFonts w:ascii="Arial" w:eastAsia="Times New Roman" w:hAnsi="Arial" w:cs="Arial"/>
                <w:sz w:val="16"/>
                <w:szCs w:val="16"/>
                <w:lang w:eastAsia="es-MX"/>
              </w:rPr>
              <w:t>,</w:t>
            </w:r>
            <w:r>
              <w:rPr>
                <w:rFonts w:ascii="Arial" w:eastAsia="Times New Roman" w:hAnsi="Arial" w:cs="Arial"/>
                <w:sz w:val="16"/>
                <w:szCs w:val="16"/>
                <w:lang w:eastAsia="es-MX"/>
              </w:rPr>
              <w:t>157</w:t>
            </w:r>
            <w:r w:rsidR="00025CCE" w:rsidRPr="00025CCE">
              <w:rPr>
                <w:rFonts w:ascii="Arial" w:eastAsia="Times New Roman" w:hAnsi="Arial" w:cs="Arial"/>
                <w:sz w:val="16"/>
                <w:szCs w:val="16"/>
                <w:lang w:eastAsia="es-MX"/>
              </w:rPr>
              <w:t>,</w:t>
            </w:r>
            <w:r>
              <w:rPr>
                <w:rFonts w:ascii="Arial" w:eastAsia="Times New Roman" w:hAnsi="Arial" w:cs="Arial"/>
                <w:sz w:val="16"/>
                <w:szCs w:val="16"/>
                <w:lang w:eastAsia="es-MX"/>
              </w:rPr>
              <w:t>958</w:t>
            </w:r>
            <w:r w:rsidR="00025CCE" w:rsidRPr="00025CCE">
              <w:rPr>
                <w:rFonts w:ascii="Arial" w:eastAsia="Times New Roman" w:hAnsi="Arial" w:cs="Arial"/>
                <w:sz w:val="16"/>
                <w:szCs w:val="16"/>
                <w:lang w:eastAsia="es-MX"/>
              </w:rPr>
              <w:t>.</w:t>
            </w:r>
            <w:r>
              <w:rPr>
                <w:rFonts w:ascii="Arial" w:eastAsia="Times New Roman" w:hAnsi="Arial" w:cs="Arial"/>
                <w:sz w:val="16"/>
                <w:szCs w:val="16"/>
                <w:lang w:eastAsia="es-MX"/>
              </w:rPr>
              <w:t>77</w:t>
            </w:r>
          </w:p>
        </w:tc>
      </w:tr>
      <w:tr w:rsidR="00025CCE" w:rsidRPr="00025CCE" w14:paraId="0033D54D" w14:textId="77777777" w:rsidTr="00025CCE">
        <w:trPr>
          <w:trHeight w:val="31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552F335"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APROVECHAMIENTOS</w:t>
            </w:r>
          </w:p>
        </w:tc>
        <w:tc>
          <w:tcPr>
            <w:tcW w:w="2560" w:type="dxa"/>
            <w:tcBorders>
              <w:top w:val="nil"/>
              <w:left w:val="nil"/>
              <w:bottom w:val="single" w:sz="4" w:space="0" w:color="auto"/>
              <w:right w:val="single" w:sz="4" w:space="0" w:color="auto"/>
            </w:tcBorders>
            <w:shd w:val="clear" w:color="auto" w:fill="auto"/>
            <w:noWrap/>
            <w:vAlign w:val="bottom"/>
            <w:hideMark/>
          </w:tcPr>
          <w:p w14:paraId="1A491192" w14:textId="13D0D6D6" w:rsidR="00025CCE" w:rsidRPr="00025CCE" w:rsidRDefault="00340A3C" w:rsidP="00025CCE">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2,982</w:t>
            </w:r>
            <w:r w:rsidR="00025CCE" w:rsidRPr="00025CCE">
              <w:rPr>
                <w:rFonts w:ascii="Arial" w:eastAsia="Times New Roman" w:hAnsi="Arial" w:cs="Arial"/>
                <w:sz w:val="16"/>
                <w:szCs w:val="16"/>
                <w:lang w:eastAsia="es-MX"/>
              </w:rPr>
              <w:t>,5</w:t>
            </w:r>
            <w:r>
              <w:rPr>
                <w:rFonts w:ascii="Arial" w:eastAsia="Times New Roman" w:hAnsi="Arial" w:cs="Arial"/>
                <w:sz w:val="16"/>
                <w:szCs w:val="16"/>
                <w:lang w:eastAsia="es-MX"/>
              </w:rPr>
              <w:t>13</w:t>
            </w:r>
            <w:r w:rsidR="00025CCE" w:rsidRPr="00025CCE">
              <w:rPr>
                <w:rFonts w:ascii="Arial" w:eastAsia="Times New Roman" w:hAnsi="Arial" w:cs="Arial"/>
                <w:sz w:val="16"/>
                <w:szCs w:val="16"/>
                <w:lang w:eastAsia="es-MX"/>
              </w:rPr>
              <w:t>.</w:t>
            </w:r>
            <w:r>
              <w:rPr>
                <w:rFonts w:ascii="Arial" w:eastAsia="Times New Roman" w:hAnsi="Arial" w:cs="Arial"/>
                <w:sz w:val="16"/>
                <w:szCs w:val="16"/>
                <w:lang w:eastAsia="es-MX"/>
              </w:rPr>
              <w:t>64</w:t>
            </w:r>
          </w:p>
        </w:tc>
      </w:tr>
      <w:tr w:rsidR="00025CCE" w:rsidRPr="00025CCE" w14:paraId="5CDDE718" w14:textId="77777777" w:rsidTr="00025CCE">
        <w:trPr>
          <w:trHeight w:val="91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5F8A947B"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PARTICIPACIONES, APORTACIONES, CONVENIOS, INCENTIVOS DERIVADOS DE LA COLABORACIÓN FISCAL Y FONDOS DISTINTOS DE APORTACIONES</w:t>
            </w:r>
          </w:p>
        </w:tc>
        <w:tc>
          <w:tcPr>
            <w:tcW w:w="2560" w:type="dxa"/>
            <w:tcBorders>
              <w:top w:val="nil"/>
              <w:left w:val="nil"/>
              <w:bottom w:val="single" w:sz="4" w:space="0" w:color="auto"/>
              <w:right w:val="single" w:sz="4" w:space="0" w:color="auto"/>
            </w:tcBorders>
            <w:shd w:val="clear" w:color="auto" w:fill="auto"/>
            <w:noWrap/>
            <w:vAlign w:val="bottom"/>
            <w:hideMark/>
          </w:tcPr>
          <w:p w14:paraId="626F24A6" w14:textId="32FDFC6C" w:rsidR="00025CCE" w:rsidRPr="00025CCE" w:rsidRDefault="00340A3C" w:rsidP="00025CCE">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178</w:t>
            </w:r>
            <w:r w:rsidR="00025CCE" w:rsidRPr="00025CCE">
              <w:rPr>
                <w:rFonts w:ascii="Arial" w:eastAsia="Times New Roman" w:hAnsi="Arial" w:cs="Arial"/>
                <w:sz w:val="16"/>
                <w:szCs w:val="16"/>
                <w:lang w:eastAsia="es-MX"/>
              </w:rPr>
              <w:t>,</w:t>
            </w:r>
            <w:r>
              <w:rPr>
                <w:rFonts w:ascii="Arial" w:eastAsia="Times New Roman" w:hAnsi="Arial" w:cs="Arial"/>
                <w:sz w:val="16"/>
                <w:szCs w:val="16"/>
                <w:lang w:eastAsia="es-MX"/>
              </w:rPr>
              <w:t>659</w:t>
            </w:r>
            <w:r w:rsidR="00025CCE" w:rsidRPr="00025CCE">
              <w:rPr>
                <w:rFonts w:ascii="Arial" w:eastAsia="Times New Roman" w:hAnsi="Arial" w:cs="Arial"/>
                <w:sz w:val="16"/>
                <w:szCs w:val="16"/>
                <w:lang w:eastAsia="es-MX"/>
              </w:rPr>
              <w:t>,</w:t>
            </w:r>
            <w:r>
              <w:rPr>
                <w:rFonts w:ascii="Arial" w:eastAsia="Times New Roman" w:hAnsi="Arial" w:cs="Arial"/>
                <w:sz w:val="16"/>
                <w:szCs w:val="16"/>
                <w:lang w:eastAsia="es-MX"/>
              </w:rPr>
              <w:t>995</w:t>
            </w:r>
            <w:r w:rsidR="00025CCE" w:rsidRPr="00025CCE">
              <w:rPr>
                <w:rFonts w:ascii="Arial" w:eastAsia="Times New Roman" w:hAnsi="Arial" w:cs="Arial"/>
                <w:sz w:val="16"/>
                <w:szCs w:val="16"/>
                <w:lang w:eastAsia="es-MX"/>
              </w:rPr>
              <w:t>.</w:t>
            </w:r>
            <w:r>
              <w:rPr>
                <w:rFonts w:ascii="Arial" w:eastAsia="Times New Roman" w:hAnsi="Arial" w:cs="Arial"/>
                <w:sz w:val="16"/>
                <w:szCs w:val="16"/>
                <w:lang w:eastAsia="es-MX"/>
              </w:rPr>
              <w:t>55</w:t>
            </w:r>
          </w:p>
        </w:tc>
      </w:tr>
      <w:tr w:rsidR="00025CCE" w:rsidRPr="00025CCE" w14:paraId="5E527DD8" w14:textId="77777777" w:rsidTr="00025CCE">
        <w:trPr>
          <w:trHeight w:val="69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7F7680C"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TRANSFERENCIAS, ASIGNACIONES, SUBSIDIOS Y SUBVENCIONES, Y PENSIONES Y JUBILACIONES</w:t>
            </w:r>
          </w:p>
        </w:tc>
        <w:tc>
          <w:tcPr>
            <w:tcW w:w="2560" w:type="dxa"/>
            <w:tcBorders>
              <w:top w:val="nil"/>
              <w:left w:val="nil"/>
              <w:bottom w:val="single" w:sz="4" w:space="0" w:color="auto"/>
              <w:right w:val="single" w:sz="4" w:space="0" w:color="auto"/>
            </w:tcBorders>
            <w:shd w:val="clear" w:color="auto" w:fill="auto"/>
            <w:noWrap/>
            <w:vAlign w:val="bottom"/>
            <w:hideMark/>
          </w:tcPr>
          <w:p w14:paraId="795F7683" w14:textId="7429A3F0" w:rsidR="00025CCE" w:rsidRPr="00025CCE" w:rsidRDefault="00340A3C" w:rsidP="00025CCE">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206</w:t>
            </w:r>
            <w:r w:rsidR="00025CCE" w:rsidRPr="00025CCE">
              <w:rPr>
                <w:rFonts w:ascii="Arial" w:eastAsia="Times New Roman" w:hAnsi="Arial" w:cs="Arial"/>
                <w:sz w:val="16"/>
                <w:szCs w:val="16"/>
                <w:lang w:eastAsia="es-MX"/>
              </w:rPr>
              <w:t>,</w:t>
            </w:r>
            <w:r>
              <w:rPr>
                <w:rFonts w:ascii="Arial" w:eastAsia="Times New Roman" w:hAnsi="Arial" w:cs="Arial"/>
                <w:sz w:val="16"/>
                <w:szCs w:val="16"/>
                <w:lang w:eastAsia="es-MX"/>
              </w:rPr>
              <w:t>745</w:t>
            </w:r>
            <w:r w:rsidR="00025CCE" w:rsidRPr="00025CCE">
              <w:rPr>
                <w:rFonts w:ascii="Arial" w:eastAsia="Times New Roman" w:hAnsi="Arial" w:cs="Arial"/>
                <w:sz w:val="16"/>
                <w:szCs w:val="16"/>
                <w:lang w:eastAsia="es-MX"/>
              </w:rPr>
              <w:t>.</w:t>
            </w:r>
            <w:r>
              <w:rPr>
                <w:rFonts w:ascii="Arial" w:eastAsia="Times New Roman" w:hAnsi="Arial" w:cs="Arial"/>
                <w:sz w:val="16"/>
                <w:szCs w:val="16"/>
                <w:lang w:eastAsia="es-MX"/>
              </w:rPr>
              <w:t>21</w:t>
            </w:r>
          </w:p>
        </w:tc>
      </w:tr>
      <w:tr w:rsidR="00025CCE" w:rsidRPr="00025CCE" w14:paraId="12779730" w14:textId="77777777" w:rsidTr="00025CCE">
        <w:trPr>
          <w:trHeight w:val="31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1DB2A3DC"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OTROS INGRESOS Y BENEFICIOS</w:t>
            </w:r>
          </w:p>
        </w:tc>
        <w:tc>
          <w:tcPr>
            <w:tcW w:w="2560" w:type="dxa"/>
            <w:tcBorders>
              <w:top w:val="nil"/>
              <w:left w:val="nil"/>
              <w:bottom w:val="single" w:sz="4" w:space="0" w:color="auto"/>
              <w:right w:val="single" w:sz="4" w:space="0" w:color="auto"/>
            </w:tcBorders>
            <w:shd w:val="clear" w:color="auto" w:fill="auto"/>
            <w:vAlign w:val="center"/>
            <w:hideMark/>
          </w:tcPr>
          <w:p w14:paraId="6944E0F9" w14:textId="77777777" w:rsidR="00025CCE" w:rsidRPr="00025CCE" w:rsidRDefault="00025CCE" w:rsidP="00025CCE">
            <w:pPr>
              <w:spacing w:after="0" w:line="240" w:lineRule="auto"/>
              <w:jc w:val="right"/>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0.00</w:t>
            </w:r>
          </w:p>
        </w:tc>
      </w:tr>
      <w:tr w:rsidR="00025CCE" w:rsidRPr="00025CCE" w14:paraId="5A7831F6"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10EFC10A" w14:textId="77777777" w:rsidR="00025CCE" w:rsidRPr="00025CCE" w:rsidRDefault="00025CCE" w:rsidP="00025CCE">
            <w:pPr>
              <w:spacing w:after="0" w:line="240" w:lineRule="auto"/>
              <w:rPr>
                <w:rFonts w:ascii="Arial" w:eastAsia="Times New Roman" w:hAnsi="Arial" w:cs="Arial"/>
                <w:b/>
                <w:bCs/>
                <w:color w:val="000000"/>
                <w:sz w:val="16"/>
                <w:szCs w:val="16"/>
                <w:lang w:eastAsia="es-MX"/>
              </w:rPr>
            </w:pPr>
            <w:r w:rsidRPr="00025CCE">
              <w:rPr>
                <w:rFonts w:ascii="Arial" w:eastAsia="Times New Roman" w:hAnsi="Arial" w:cs="Arial"/>
                <w:b/>
                <w:bCs/>
                <w:color w:val="000000"/>
                <w:sz w:val="16"/>
                <w:szCs w:val="16"/>
                <w:lang w:eastAsia="es-MX"/>
              </w:rPr>
              <w:t>TOTAL</w:t>
            </w:r>
          </w:p>
        </w:tc>
        <w:tc>
          <w:tcPr>
            <w:tcW w:w="2560" w:type="dxa"/>
            <w:tcBorders>
              <w:top w:val="nil"/>
              <w:left w:val="nil"/>
              <w:bottom w:val="single" w:sz="4" w:space="0" w:color="auto"/>
              <w:right w:val="single" w:sz="4" w:space="0" w:color="auto"/>
            </w:tcBorders>
            <w:shd w:val="clear" w:color="auto" w:fill="auto"/>
            <w:vAlign w:val="center"/>
            <w:hideMark/>
          </w:tcPr>
          <w:p w14:paraId="58CD63BD" w14:textId="18F04BEA" w:rsidR="00025CCE" w:rsidRPr="00025CCE" w:rsidRDefault="00340A3C" w:rsidP="00025CC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325</w:t>
            </w:r>
            <w:r w:rsidR="00025CCE" w:rsidRPr="00025CCE">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553</w:t>
            </w:r>
            <w:r w:rsidR="00025CCE" w:rsidRPr="00025CCE">
              <w:rPr>
                <w:rFonts w:ascii="Arial" w:eastAsia="Times New Roman" w:hAnsi="Arial" w:cs="Arial"/>
                <w:b/>
                <w:bCs/>
                <w:color w:val="000000"/>
                <w:sz w:val="16"/>
                <w:szCs w:val="16"/>
                <w:lang w:eastAsia="es-MX"/>
              </w:rPr>
              <w:t>,8</w:t>
            </w:r>
            <w:r>
              <w:rPr>
                <w:rFonts w:ascii="Arial" w:eastAsia="Times New Roman" w:hAnsi="Arial" w:cs="Arial"/>
                <w:b/>
                <w:bCs/>
                <w:color w:val="000000"/>
                <w:sz w:val="16"/>
                <w:szCs w:val="16"/>
                <w:lang w:eastAsia="es-MX"/>
              </w:rPr>
              <w:t>72</w:t>
            </w:r>
            <w:r w:rsidR="00025CCE" w:rsidRPr="00025CCE">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04</w:t>
            </w:r>
          </w:p>
        </w:tc>
      </w:tr>
    </w:tbl>
    <w:p w14:paraId="6DD1F27E" w14:textId="77777777" w:rsidR="00726802" w:rsidRPr="00726802" w:rsidRDefault="00726802" w:rsidP="00726802">
      <w:pPr>
        <w:pStyle w:val="Prrafodelista"/>
        <w:tabs>
          <w:tab w:val="left" w:leader="underscore" w:pos="9639"/>
        </w:tabs>
        <w:spacing w:after="0" w:line="240" w:lineRule="auto"/>
        <w:jc w:val="both"/>
        <w:rPr>
          <w:rFonts w:cs="Calibri"/>
        </w:rPr>
      </w:pPr>
    </w:p>
    <w:p w14:paraId="46025E6B" w14:textId="3E22805F" w:rsidR="00726802" w:rsidRPr="00E74967" w:rsidRDefault="00726802" w:rsidP="001E1EDE">
      <w:pPr>
        <w:tabs>
          <w:tab w:val="left" w:leader="underscore" w:pos="9639"/>
        </w:tabs>
        <w:spacing w:after="0" w:line="240" w:lineRule="auto"/>
        <w:jc w:val="center"/>
        <w:rPr>
          <w:rFonts w:cs="Calibri"/>
        </w:rPr>
      </w:pPr>
    </w:p>
    <w:p w14:paraId="36C23337"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Proyección de la recaudación e ingresos en el mediano plazo:</w:t>
      </w:r>
    </w:p>
    <w:p w14:paraId="782991F9" w14:textId="77777777" w:rsidR="00726802" w:rsidRDefault="00726802" w:rsidP="00CB41C4">
      <w:pPr>
        <w:tabs>
          <w:tab w:val="left" w:leader="underscore" w:pos="9639"/>
        </w:tabs>
        <w:spacing w:after="0" w:line="240" w:lineRule="auto"/>
        <w:jc w:val="both"/>
        <w:rPr>
          <w:rFonts w:cs="Calibri"/>
        </w:rPr>
      </w:pPr>
    </w:p>
    <w:p w14:paraId="63948B2E" w14:textId="77777777" w:rsidR="00BB7FDF" w:rsidRDefault="00BB7FDF" w:rsidP="00CB41C4">
      <w:pPr>
        <w:tabs>
          <w:tab w:val="left" w:leader="underscore" w:pos="9639"/>
        </w:tabs>
        <w:spacing w:after="0" w:line="240" w:lineRule="auto"/>
        <w:jc w:val="both"/>
        <w:rPr>
          <w:rFonts w:cs="Calibri"/>
        </w:rPr>
      </w:pPr>
    </w:p>
    <w:tbl>
      <w:tblPr>
        <w:tblW w:w="5740" w:type="dxa"/>
        <w:jc w:val="center"/>
        <w:tblCellMar>
          <w:left w:w="70" w:type="dxa"/>
          <w:right w:w="70" w:type="dxa"/>
        </w:tblCellMar>
        <w:tblLook w:val="04A0" w:firstRow="1" w:lastRow="0" w:firstColumn="1" w:lastColumn="0" w:noHBand="0" w:noVBand="1"/>
      </w:tblPr>
      <w:tblGrid>
        <w:gridCol w:w="3180"/>
        <w:gridCol w:w="2560"/>
      </w:tblGrid>
      <w:tr w:rsidR="00025CCE" w:rsidRPr="00025CCE" w14:paraId="6EACF8AA" w14:textId="77777777" w:rsidTr="00025CCE">
        <w:trPr>
          <w:trHeight w:val="300"/>
          <w:jc w:val="center"/>
        </w:trPr>
        <w:tc>
          <w:tcPr>
            <w:tcW w:w="5740" w:type="dxa"/>
            <w:gridSpan w:val="2"/>
            <w:tcBorders>
              <w:top w:val="single" w:sz="4" w:space="0" w:color="auto"/>
              <w:left w:val="single" w:sz="4" w:space="0" w:color="auto"/>
              <w:bottom w:val="single" w:sz="4" w:space="0" w:color="auto"/>
              <w:right w:val="single" w:sz="4" w:space="0" w:color="auto"/>
            </w:tcBorders>
            <w:shd w:val="clear" w:color="000000" w:fill="3A7B98"/>
            <w:vAlign w:val="center"/>
            <w:hideMark/>
          </w:tcPr>
          <w:p w14:paraId="3A6FD0E0" w14:textId="77777777" w:rsidR="00025CCE" w:rsidRPr="00025CCE" w:rsidRDefault="00025CCE" w:rsidP="00025CCE">
            <w:pPr>
              <w:spacing w:after="0" w:line="240" w:lineRule="auto"/>
              <w:jc w:val="center"/>
              <w:rPr>
                <w:rFonts w:ascii="Arial" w:eastAsia="Times New Roman" w:hAnsi="Arial" w:cs="Arial"/>
                <w:b/>
                <w:bCs/>
                <w:color w:val="FFFFFF"/>
                <w:sz w:val="16"/>
                <w:szCs w:val="16"/>
                <w:lang w:eastAsia="es-MX"/>
              </w:rPr>
            </w:pPr>
            <w:r w:rsidRPr="00025CCE">
              <w:rPr>
                <w:rFonts w:ascii="Arial" w:eastAsia="Times New Roman" w:hAnsi="Arial" w:cs="Arial"/>
                <w:b/>
                <w:bCs/>
                <w:color w:val="FFFFFF"/>
                <w:sz w:val="16"/>
                <w:szCs w:val="16"/>
                <w:lang w:eastAsia="es-MX"/>
              </w:rPr>
              <w:t>REPORTE DE PRONÓSTICO DE RECAUDACIÓN</w:t>
            </w:r>
          </w:p>
        </w:tc>
      </w:tr>
      <w:tr w:rsidR="00025CCE" w:rsidRPr="00025CCE" w14:paraId="560374DB"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7CCC830C"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IMPUESTOS</w:t>
            </w:r>
          </w:p>
        </w:tc>
        <w:tc>
          <w:tcPr>
            <w:tcW w:w="2560" w:type="dxa"/>
            <w:tcBorders>
              <w:top w:val="nil"/>
              <w:left w:val="nil"/>
              <w:bottom w:val="single" w:sz="4" w:space="0" w:color="auto"/>
              <w:right w:val="single" w:sz="4" w:space="0" w:color="auto"/>
            </w:tcBorders>
            <w:shd w:val="clear" w:color="auto" w:fill="auto"/>
            <w:noWrap/>
            <w:vAlign w:val="bottom"/>
            <w:hideMark/>
          </w:tcPr>
          <w:p w14:paraId="4CCC55C6" w14:textId="6181E433"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14</w:t>
            </w:r>
            <w:r w:rsidR="00340A3C">
              <w:rPr>
                <w:rFonts w:ascii="Arial" w:eastAsia="Times New Roman" w:hAnsi="Arial" w:cs="Arial"/>
                <w:sz w:val="16"/>
                <w:szCs w:val="16"/>
                <w:lang w:eastAsia="es-MX"/>
              </w:rPr>
              <w:t>1</w:t>
            </w:r>
            <w:r w:rsidRPr="00025CCE">
              <w:rPr>
                <w:rFonts w:ascii="Arial" w:eastAsia="Times New Roman" w:hAnsi="Arial" w:cs="Arial"/>
                <w:sz w:val="16"/>
                <w:szCs w:val="16"/>
                <w:lang w:eastAsia="es-MX"/>
              </w:rPr>
              <w:t>,</w:t>
            </w:r>
            <w:r w:rsidR="00340A3C">
              <w:rPr>
                <w:rFonts w:ascii="Arial" w:eastAsia="Times New Roman" w:hAnsi="Arial" w:cs="Arial"/>
                <w:sz w:val="16"/>
                <w:szCs w:val="16"/>
                <w:lang w:eastAsia="es-MX"/>
              </w:rPr>
              <w:t>058</w:t>
            </w:r>
            <w:r w:rsidRPr="00025CCE">
              <w:rPr>
                <w:rFonts w:ascii="Arial" w:eastAsia="Times New Roman" w:hAnsi="Arial" w:cs="Arial"/>
                <w:sz w:val="16"/>
                <w:szCs w:val="16"/>
                <w:lang w:eastAsia="es-MX"/>
              </w:rPr>
              <w:t>,</w:t>
            </w:r>
            <w:r w:rsidR="00774F33">
              <w:rPr>
                <w:rFonts w:ascii="Arial" w:eastAsia="Times New Roman" w:hAnsi="Arial" w:cs="Arial"/>
                <w:sz w:val="16"/>
                <w:szCs w:val="16"/>
                <w:lang w:eastAsia="es-MX"/>
              </w:rPr>
              <w:t>928</w:t>
            </w:r>
            <w:r w:rsidRPr="00025CCE">
              <w:rPr>
                <w:rFonts w:ascii="Arial" w:eastAsia="Times New Roman" w:hAnsi="Arial" w:cs="Arial"/>
                <w:sz w:val="16"/>
                <w:szCs w:val="16"/>
                <w:lang w:eastAsia="es-MX"/>
              </w:rPr>
              <w:t>.</w:t>
            </w:r>
            <w:r w:rsidR="00774F33">
              <w:rPr>
                <w:rFonts w:ascii="Arial" w:eastAsia="Times New Roman" w:hAnsi="Arial" w:cs="Arial"/>
                <w:sz w:val="16"/>
                <w:szCs w:val="16"/>
                <w:lang w:eastAsia="es-MX"/>
              </w:rPr>
              <w:t>00</w:t>
            </w:r>
          </w:p>
        </w:tc>
      </w:tr>
      <w:tr w:rsidR="00025CCE" w:rsidRPr="00025CCE" w14:paraId="08F20B92"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5DA6CCEC"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DERECHOS</w:t>
            </w:r>
          </w:p>
        </w:tc>
        <w:tc>
          <w:tcPr>
            <w:tcW w:w="2560" w:type="dxa"/>
            <w:tcBorders>
              <w:top w:val="nil"/>
              <w:left w:val="nil"/>
              <w:bottom w:val="single" w:sz="4" w:space="0" w:color="auto"/>
              <w:right w:val="single" w:sz="4" w:space="0" w:color="auto"/>
            </w:tcBorders>
            <w:shd w:val="clear" w:color="auto" w:fill="auto"/>
            <w:noWrap/>
            <w:vAlign w:val="bottom"/>
            <w:hideMark/>
          </w:tcPr>
          <w:p w14:paraId="631071FE" w14:textId="6999D81C"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1</w:t>
            </w:r>
            <w:r w:rsidR="00774F33">
              <w:rPr>
                <w:rFonts w:ascii="Arial" w:eastAsia="Times New Roman" w:hAnsi="Arial" w:cs="Arial"/>
                <w:sz w:val="16"/>
                <w:szCs w:val="16"/>
                <w:lang w:eastAsia="es-MX"/>
              </w:rPr>
              <w:t>20</w:t>
            </w:r>
            <w:r w:rsidRPr="00025CCE">
              <w:rPr>
                <w:rFonts w:ascii="Arial" w:eastAsia="Times New Roman" w:hAnsi="Arial" w:cs="Arial"/>
                <w:sz w:val="16"/>
                <w:szCs w:val="16"/>
                <w:lang w:eastAsia="es-MX"/>
              </w:rPr>
              <w:t>,</w:t>
            </w:r>
            <w:r w:rsidR="00774F33">
              <w:rPr>
                <w:rFonts w:ascii="Arial" w:eastAsia="Times New Roman" w:hAnsi="Arial" w:cs="Arial"/>
                <w:sz w:val="16"/>
                <w:szCs w:val="16"/>
                <w:lang w:eastAsia="es-MX"/>
              </w:rPr>
              <w:t>687</w:t>
            </w:r>
            <w:r w:rsidRPr="00025CCE">
              <w:rPr>
                <w:rFonts w:ascii="Arial" w:eastAsia="Times New Roman" w:hAnsi="Arial" w:cs="Arial"/>
                <w:sz w:val="16"/>
                <w:szCs w:val="16"/>
                <w:lang w:eastAsia="es-MX"/>
              </w:rPr>
              <w:t>,</w:t>
            </w:r>
            <w:r w:rsidR="00774F33">
              <w:rPr>
                <w:rFonts w:ascii="Arial" w:eastAsia="Times New Roman" w:hAnsi="Arial" w:cs="Arial"/>
                <w:sz w:val="16"/>
                <w:szCs w:val="16"/>
                <w:lang w:eastAsia="es-MX"/>
              </w:rPr>
              <w:t>489</w:t>
            </w:r>
            <w:r w:rsidRPr="00025CCE">
              <w:rPr>
                <w:rFonts w:ascii="Arial" w:eastAsia="Times New Roman" w:hAnsi="Arial" w:cs="Arial"/>
                <w:sz w:val="16"/>
                <w:szCs w:val="16"/>
                <w:lang w:eastAsia="es-MX"/>
              </w:rPr>
              <w:t>.</w:t>
            </w:r>
            <w:r w:rsidR="00774F33">
              <w:rPr>
                <w:rFonts w:ascii="Arial" w:eastAsia="Times New Roman" w:hAnsi="Arial" w:cs="Arial"/>
                <w:sz w:val="16"/>
                <w:szCs w:val="16"/>
                <w:lang w:eastAsia="es-MX"/>
              </w:rPr>
              <w:t>00</w:t>
            </w:r>
          </w:p>
        </w:tc>
      </w:tr>
      <w:tr w:rsidR="00025CCE" w:rsidRPr="00025CCE" w14:paraId="193E3E86"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8B2A1E7"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PRODUCTOS</w:t>
            </w:r>
          </w:p>
        </w:tc>
        <w:tc>
          <w:tcPr>
            <w:tcW w:w="2560" w:type="dxa"/>
            <w:tcBorders>
              <w:top w:val="nil"/>
              <w:left w:val="nil"/>
              <w:bottom w:val="single" w:sz="4" w:space="0" w:color="auto"/>
              <w:right w:val="single" w:sz="4" w:space="0" w:color="auto"/>
            </w:tcBorders>
            <w:shd w:val="clear" w:color="auto" w:fill="auto"/>
            <w:noWrap/>
            <w:vAlign w:val="bottom"/>
            <w:hideMark/>
          </w:tcPr>
          <w:p w14:paraId="07F9E7CC" w14:textId="6DF7483E" w:rsidR="00025CCE" w:rsidRPr="00025CCE" w:rsidRDefault="00774F33" w:rsidP="00025CCE">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14</w:t>
            </w:r>
            <w:r w:rsidR="00025CCE" w:rsidRPr="00025CCE">
              <w:rPr>
                <w:rFonts w:ascii="Arial" w:eastAsia="Times New Roman" w:hAnsi="Arial" w:cs="Arial"/>
                <w:sz w:val="16"/>
                <w:szCs w:val="16"/>
                <w:lang w:eastAsia="es-MX"/>
              </w:rPr>
              <w:t>,</w:t>
            </w:r>
            <w:r>
              <w:rPr>
                <w:rFonts w:ascii="Arial" w:eastAsia="Times New Roman" w:hAnsi="Arial" w:cs="Arial"/>
                <w:sz w:val="16"/>
                <w:szCs w:val="16"/>
                <w:lang w:eastAsia="es-MX"/>
              </w:rPr>
              <w:t>320</w:t>
            </w:r>
            <w:r w:rsidR="00025CCE" w:rsidRPr="00025CCE">
              <w:rPr>
                <w:rFonts w:ascii="Arial" w:eastAsia="Times New Roman" w:hAnsi="Arial" w:cs="Arial"/>
                <w:sz w:val="16"/>
                <w:szCs w:val="16"/>
                <w:lang w:eastAsia="es-MX"/>
              </w:rPr>
              <w:t>,</w:t>
            </w:r>
            <w:r>
              <w:rPr>
                <w:rFonts w:ascii="Arial" w:eastAsia="Times New Roman" w:hAnsi="Arial" w:cs="Arial"/>
                <w:sz w:val="16"/>
                <w:szCs w:val="16"/>
                <w:lang w:eastAsia="es-MX"/>
              </w:rPr>
              <w:t>784</w:t>
            </w:r>
            <w:r w:rsidR="00025CCE" w:rsidRPr="00025CCE">
              <w:rPr>
                <w:rFonts w:ascii="Arial" w:eastAsia="Times New Roman" w:hAnsi="Arial" w:cs="Arial"/>
                <w:sz w:val="16"/>
                <w:szCs w:val="16"/>
                <w:lang w:eastAsia="es-MX"/>
              </w:rPr>
              <w:t>.</w:t>
            </w:r>
            <w:r>
              <w:rPr>
                <w:rFonts w:ascii="Arial" w:eastAsia="Times New Roman" w:hAnsi="Arial" w:cs="Arial"/>
                <w:sz w:val="16"/>
                <w:szCs w:val="16"/>
                <w:lang w:eastAsia="es-MX"/>
              </w:rPr>
              <w:t>00</w:t>
            </w:r>
          </w:p>
        </w:tc>
      </w:tr>
      <w:tr w:rsidR="00025CCE" w:rsidRPr="00025CCE" w14:paraId="636DA43E"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03F1641D"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APROVECHAMIENTOS</w:t>
            </w:r>
          </w:p>
        </w:tc>
        <w:tc>
          <w:tcPr>
            <w:tcW w:w="2560" w:type="dxa"/>
            <w:tcBorders>
              <w:top w:val="nil"/>
              <w:left w:val="nil"/>
              <w:bottom w:val="single" w:sz="4" w:space="0" w:color="auto"/>
              <w:right w:val="single" w:sz="4" w:space="0" w:color="auto"/>
            </w:tcBorders>
            <w:shd w:val="clear" w:color="auto" w:fill="auto"/>
            <w:noWrap/>
            <w:vAlign w:val="bottom"/>
            <w:hideMark/>
          </w:tcPr>
          <w:p w14:paraId="5E9A604F" w14:textId="74BAAAD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1</w:t>
            </w:r>
            <w:r w:rsidR="00774F33">
              <w:rPr>
                <w:rFonts w:ascii="Arial" w:eastAsia="Times New Roman" w:hAnsi="Arial" w:cs="Arial"/>
                <w:sz w:val="16"/>
                <w:szCs w:val="16"/>
                <w:lang w:eastAsia="es-MX"/>
              </w:rPr>
              <w:t>7</w:t>
            </w:r>
            <w:r w:rsidRPr="00025CCE">
              <w:rPr>
                <w:rFonts w:ascii="Arial" w:eastAsia="Times New Roman" w:hAnsi="Arial" w:cs="Arial"/>
                <w:sz w:val="16"/>
                <w:szCs w:val="16"/>
                <w:lang w:eastAsia="es-MX"/>
              </w:rPr>
              <w:t>,9</w:t>
            </w:r>
            <w:r w:rsidR="00774F33">
              <w:rPr>
                <w:rFonts w:ascii="Arial" w:eastAsia="Times New Roman" w:hAnsi="Arial" w:cs="Arial"/>
                <w:sz w:val="16"/>
                <w:szCs w:val="16"/>
                <w:lang w:eastAsia="es-MX"/>
              </w:rPr>
              <w:t>97</w:t>
            </w:r>
            <w:r w:rsidRPr="00025CCE">
              <w:rPr>
                <w:rFonts w:ascii="Arial" w:eastAsia="Times New Roman" w:hAnsi="Arial" w:cs="Arial"/>
                <w:sz w:val="16"/>
                <w:szCs w:val="16"/>
                <w:lang w:eastAsia="es-MX"/>
              </w:rPr>
              <w:t>,5</w:t>
            </w:r>
            <w:r w:rsidR="00774F33">
              <w:rPr>
                <w:rFonts w:ascii="Arial" w:eastAsia="Times New Roman" w:hAnsi="Arial" w:cs="Arial"/>
                <w:sz w:val="16"/>
                <w:szCs w:val="16"/>
                <w:lang w:eastAsia="es-MX"/>
              </w:rPr>
              <w:t>18</w:t>
            </w:r>
            <w:r w:rsidRPr="00025CCE">
              <w:rPr>
                <w:rFonts w:ascii="Arial" w:eastAsia="Times New Roman" w:hAnsi="Arial" w:cs="Arial"/>
                <w:sz w:val="16"/>
                <w:szCs w:val="16"/>
                <w:lang w:eastAsia="es-MX"/>
              </w:rPr>
              <w:t>.</w:t>
            </w:r>
            <w:r w:rsidR="00774F33">
              <w:rPr>
                <w:rFonts w:ascii="Arial" w:eastAsia="Times New Roman" w:hAnsi="Arial" w:cs="Arial"/>
                <w:sz w:val="16"/>
                <w:szCs w:val="16"/>
                <w:lang w:eastAsia="es-MX"/>
              </w:rPr>
              <w:t>00</w:t>
            </w:r>
          </w:p>
        </w:tc>
      </w:tr>
      <w:tr w:rsidR="00025CCE" w:rsidRPr="00025CCE" w14:paraId="5D61439F" w14:textId="77777777" w:rsidTr="00025CCE">
        <w:trPr>
          <w:trHeight w:val="9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0042CDCC"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PARTICIPACIONES, APORTACIONES, CONVENIOS, INCENTIVOS DERIVADOS DE LA COLABORACIÓN FISCAL Y FONDOS DISTINTOS DE APORTACIONES</w:t>
            </w:r>
          </w:p>
        </w:tc>
        <w:tc>
          <w:tcPr>
            <w:tcW w:w="2560" w:type="dxa"/>
            <w:tcBorders>
              <w:top w:val="nil"/>
              <w:left w:val="nil"/>
              <w:bottom w:val="single" w:sz="4" w:space="0" w:color="auto"/>
              <w:right w:val="single" w:sz="4" w:space="0" w:color="auto"/>
            </w:tcBorders>
            <w:shd w:val="clear" w:color="auto" w:fill="auto"/>
            <w:noWrap/>
            <w:vAlign w:val="bottom"/>
            <w:hideMark/>
          </w:tcPr>
          <w:p w14:paraId="1DDDB479" w14:textId="0DA9A50B"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6</w:t>
            </w:r>
            <w:r w:rsidR="00774F33">
              <w:rPr>
                <w:rFonts w:ascii="Arial" w:eastAsia="Times New Roman" w:hAnsi="Arial" w:cs="Arial"/>
                <w:sz w:val="16"/>
                <w:szCs w:val="16"/>
                <w:lang w:eastAsia="es-MX"/>
              </w:rPr>
              <w:t>69</w:t>
            </w:r>
            <w:r w:rsidRPr="00025CCE">
              <w:rPr>
                <w:rFonts w:ascii="Arial" w:eastAsia="Times New Roman" w:hAnsi="Arial" w:cs="Arial"/>
                <w:sz w:val="16"/>
                <w:szCs w:val="16"/>
                <w:lang w:eastAsia="es-MX"/>
              </w:rPr>
              <w:t>,</w:t>
            </w:r>
            <w:r w:rsidR="00774F33">
              <w:rPr>
                <w:rFonts w:ascii="Arial" w:eastAsia="Times New Roman" w:hAnsi="Arial" w:cs="Arial"/>
                <w:sz w:val="16"/>
                <w:szCs w:val="16"/>
                <w:lang w:eastAsia="es-MX"/>
              </w:rPr>
              <w:t>686</w:t>
            </w:r>
            <w:r w:rsidRPr="00025CCE">
              <w:rPr>
                <w:rFonts w:ascii="Arial" w:eastAsia="Times New Roman" w:hAnsi="Arial" w:cs="Arial"/>
                <w:sz w:val="16"/>
                <w:szCs w:val="16"/>
                <w:lang w:eastAsia="es-MX"/>
              </w:rPr>
              <w:t>,5</w:t>
            </w:r>
            <w:r w:rsidR="00774F33">
              <w:rPr>
                <w:rFonts w:ascii="Arial" w:eastAsia="Times New Roman" w:hAnsi="Arial" w:cs="Arial"/>
                <w:sz w:val="16"/>
                <w:szCs w:val="16"/>
                <w:lang w:eastAsia="es-MX"/>
              </w:rPr>
              <w:t>30</w:t>
            </w:r>
            <w:r w:rsidRPr="00025CCE">
              <w:rPr>
                <w:rFonts w:ascii="Arial" w:eastAsia="Times New Roman" w:hAnsi="Arial" w:cs="Arial"/>
                <w:sz w:val="16"/>
                <w:szCs w:val="16"/>
                <w:lang w:eastAsia="es-MX"/>
              </w:rPr>
              <w:t>.</w:t>
            </w:r>
            <w:r w:rsidR="00774F33">
              <w:rPr>
                <w:rFonts w:ascii="Arial" w:eastAsia="Times New Roman" w:hAnsi="Arial" w:cs="Arial"/>
                <w:sz w:val="16"/>
                <w:szCs w:val="16"/>
                <w:lang w:eastAsia="es-MX"/>
              </w:rPr>
              <w:t>00</w:t>
            </w:r>
          </w:p>
        </w:tc>
      </w:tr>
      <w:tr w:rsidR="00025CCE" w:rsidRPr="00025CCE" w14:paraId="1DC9196E" w14:textId="77777777" w:rsidTr="00025CCE">
        <w:trPr>
          <w:trHeight w:val="67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776C25CA"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TRANSFERENCIAS, ASIGNACIONES, SUBSIDIOS Y SUBVENCIONES, Y PENSIONES Y JUBILACIONES</w:t>
            </w:r>
          </w:p>
        </w:tc>
        <w:tc>
          <w:tcPr>
            <w:tcW w:w="2560" w:type="dxa"/>
            <w:tcBorders>
              <w:top w:val="nil"/>
              <w:left w:val="nil"/>
              <w:bottom w:val="single" w:sz="4" w:space="0" w:color="auto"/>
              <w:right w:val="single" w:sz="4" w:space="0" w:color="auto"/>
            </w:tcBorders>
            <w:shd w:val="clear" w:color="auto" w:fill="auto"/>
            <w:noWrap/>
            <w:vAlign w:val="bottom"/>
            <w:hideMark/>
          </w:tcPr>
          <w:p w14:paraId="0AF2C054" w14:textId="303DC358" w:rsidR="00025CCE" w:rsidRPr="00025CCE" w:rsidRDefault="00774F33" w:rsidP="00025CCE">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4</w:t>
            </w:r>
            <w:r w:rsidR="00025CCE" w:rsidRPr="00025CCE">
              <w:rPr>
                <w:rFonts w:ascii="Arial" w:eastAsia="Times New Roman" w:hAnsi="Arial" w:cs="Arial"/>
                <w:sz w:val="16"/>
                <w:szCs w:val="16"/>
                <w:lang w:eastAsia="es-MX"/>
              </w:rPr>
              <w:t>,</w:t>
            </w:r>
            <w:r>
              <w:rPr>
                <w:rFonts w:ascii="Arial" w:eastAsia="Times New Roman" w:hAnsi="Arial" w:cs="Arial"/>
                <w:sz w:val="16"/>
                <w:szCs w:val="16"/>
                <w:lang w:eastAsia="es-MX"/>
              </w:rPr>
              <w:t>777</w:t>
            </w:r>
            <w:r w:rsidR="00025CCE" w:rsidRPr="00025CCE">
              <w:rPr>
                <w:rFonts w:ascii="Arial" w:eastAsia="Times New Roman" w:hAnsi="Arial" w:cs="Arial"/>
                <w:sz w:val="16"/>
                <w:szCs w:val="16"/>
                <w:lang w:eastAsia="es-MX"/>
              </w:rPr>
              <w:t>,</w:t>
            </w:r>
            <w:r>
              <w:rPr>
                <w:rFonts w:ascii="Arial" w:eastAsia="Times New Roman" w:hAnsi="Arial" w:cs="Arial"/>
                <w:sz w:val="16"/>
                <w:szCs w:val="16"/>
                <w:lang w:eastAsia="es-MX"/>
              </w:rPr>
              <w:t>070</w:t>
            </w:r>
            <w:r w:rsidR="00025CCE" w:rsidRPr="00025CCE">
              <w:rPr>
                <w:rFonts w:ascii="Arial" w:eastAsia="Times New Roman" w:hAnsi="Arial" w:cs="Arial"/>
                <w:sz w:val="16"/>
                <w:szCs w:val="16"/>
                <w:lang w:eastAsia="es-MX"/>
              </w:rPr>
              <w:t>.0</w:t>
            </w:r>
            <w:r>
              <w:rPr>
                <w:rFonts w:ascii="Arial" w:eastAsia="Times New Roman" w:hAnsi="Arial" w:cs="Arial"/>
                <w:sz w:val="16"/>
                <w:szCs w:val="16"/>
                <w:lang w:eastAsia="es-MX"/>
              </w:rPr>
              <w:t>0</w:t>
            </w:r>
          </w:p>
        </w:tc>
      </w:tr>
      <w:tr w:rsidR="00025CCE" w:rsidRPr="00025CCE" w14:paraId="46AB6755"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6E14C4E"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OTROS INGRESOS Y BENEFICIOS</w:t>
            </w:r>
          </w:p>
        </w:tc>
        <w:tc>
          <w:tcPr>
            <w:tcW w:w="2560" w:type="dxa"/>
            <w:tcBorders>
              <w:top w:val="nil"/>
              <w:left w:val="nil"/>
              <w:bottom w:val="single" w:sz="4" w:space="0" w:color="auto"/>
              <w:right w:val="single" w:sz="4" w:space="0" w:color="auto"/>
            </w:tcBorders>
            <w:shd w:val="clear" w:color="auto" w:fill="auto"/>
            <w:noWrap/>
            <w:vAlign w:val="bottom"/>
            <w:hideMark/>
          </w:tcPr>
          <w:p w14:paraId="4C3920C8"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0.00</w:t>
            </w:r>
          </w:p>
        </w:tc>
      </w:tr>
      <w:tr w:rsidR="00025CCE" w:rsidRPr="00025CCE" w14:paraId="103C01DF"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38A7F714" w14:textId="77777777" w:rsidR="00025CCE" w:rsidRPr="00025CCE" w:rsidRDefault="00025CCE" w:rsidP="00025CCE">
            <w:pPr>
              <w:spacing w:after="0" w:line="240" w:lineRule="auto"/>
              <w:rPr>
                <w:rFonts w:ascii="Arial" w:eastAsia="Times New Roman" w:hAnsi="Arial" w:cs="Arial"/>
                <w:b/>
                <w:bCs/>
                <w:color w:val="000000"/>
                <w:sz w:val="16"/>
                <w:szCs w:val="16"/>
                <w:lang w:eastAsia="es-MX"/>
              </w:rPr>
            </w:pPr>
            <w:r w:rsidRPr="00025CCE">
              <w:rPr>
                <w:rFonts w:ascii="Arial" w:eastAsia="Times New Roman" w:hAnsi="Arial" w:cs="Arial"/>
                <w:b/>
                <w:bCs/>
                <w:color w:val="000000"/>
                <w:sz w:val="16"/>
                <w:szCs w:val="16"/>
                <w:lang w:eastAsia="es-MX"/>
              </w:rPr>
              <w:t>TOTAL</w:t>
            </w:r>
          </w:p>
        </w:tc>
        <w:tc>
          <w:tcPr>
            <w:tcW w:w="2560" w:type="dxa"/>
            <w:tcBorders>
              <w:top w:val="nil"/>
              <w:left w:val="nil"/>
              <w:bottom w:val="single" w:sz="4" w:space="0" w:color="auto"/>
              <w:right w:val="single" w:sz="4" w:space="0" w:color="auto"/>
            </w:tcBorders>
            <w:shd w:val="clear" w:color="auto" w:fill="auto"/>
            <w:vAlign w:val="center"/>
            <w:hideMark/>
          </w:tcPr>
          <w:p w14:paraId="1EBE93E2" w14:textId="4BB77F15" w:rsidR="00025CCE" w:rsidRPr="00025CCE" w:rsidRDefault="00774F33" w:rsidP="00025CC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968</w:t>
            </w:r>
            <w:r w:rsidR="00025CCE" w:rsidRPr="00025CCE">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528</w:t>
            </w:r>
            <w:r w:rsidR="00025CCE" w:rsidRPr="00025CCE">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319</w:t>
            </w:r>
            <w:r w:rsidR="00025CCE" w:rsidRPr="00025CCE">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bl>
    <w:p w14:paraId="4CA38CC2" w14:textId="77777777" w:rsidR="001E1EDE" w:rsidRPr="00E74967" w:rsidRDefault="001E1EDE"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2" w:name="_Toc196465386"/>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2"/>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EAE6B5E" w14:textId="77777777" w:rsidR="000F0656" w:rsidRDefault="000F0656" w:rsidP="00CB41C4">
      <w:pPr>
        <w:tabs>
          <w:tab w:val="left" w:leader="underscore" w:pos="9639"/>
        </w:tabs>
        <w:spacing w:after="0" w:line="240" w:lineRule="auto"/>
        <w:jc w:val="both"/>
        <w:rPr>
          <w:rFonts w:cs="Calibri"/>
        </w:rPr>
      </w:pPr>
    </w:p>
    <w:p w14:paraId="78CD75E3" w14:textId="6CDDC4A3" w:rsidR="000F0656" w:rsidRPr="00E74967" w:rsidRDefault="000F0656" w:rsidP="000F0656">
      <w:pPr>
        <w:spacing w:after="0" w:line="240" w:lineRule="auto"/>
        <w:jc w:val="both"/>
        <w:rPr>
          <w:rFonts w:cs="Calibri"/>
        </w:rPr>
      </w:pPr>
      <w:r w:rsidRPr="00894D6C">
        <w:rPr>
          <w:rFonts w:eastAsia="Times New Roman" w:cs="Arial"/>
          <w:szCs w:val="16"/>
        </w:rPr>
        <w:t>Al periodo</w:t>
      </w:r>
      <w:r>
        <w:rPr>
          <w:rFonts w:cs="Calibri"/>
        </w:rPr>
        <w:t xml:space="preserve"> que se informa no se tiene contratada deuda.</w:t>
      </w:r>
    </w:p>
    <w:p w14:paraId="3459EC5D" w14:textId="77777777" w:rsidR="000F0656" w:rsidRPr="00E74967" w:rsidRDefault="000F065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3" w:name="_Toc196465387"/>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3"/>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003F02B" w14:textId="77777777" w:rsidR="000F0656" w:rsidRDefault="000F0656" w:rsidP="000F0656">
      <w:pPr>
        <w:spacing w:after="0"/>
        <w:jc w:val="both"/>
        <w:rPr>
          <w:rFonts w:cs="Arial"/>
          <w:szCs w:val="16"/>
        </w:rPr>
      </w:pPr>
    </w:p>
    <w:p w14:paraId="675DE4BC" w14:textId="77777777" w:rsidR="00C67E8E" w:rsidRDefault="00C67E8E" w:rsidP="000F0656">
      <w:pPr>
        <w:spacing w:after="0"/>
        <w:jc w:val="both"/>
        <w:rPr>
          <w:rFonts w:cs="Arial"/>
          <w:b/>
          <w:bCs/>
          <w:szCs w:val="16"/>
        </w:rPr>
      </w:pPr>
    </w:p>
    <w:p w14:paraId="5C6EA037" w14:textId="77777777" w:rsidR="006A65AB" w:rsidRDefault="006A65AB" w:rsidP="000F0656">
      <w:pPr>
        <w:spacing w:after="0"/>
        <w:jc w:val="both"/>
        <w:rPr>
          <w:rFonts w:cs="Arial"/>
          <w:b/>
          <w:bCs/>
          <w:szCs w:val="16"/>
        </w:rPr>
      </w:pPr>
    </w:p>
    <w:p w14:paraId="33DC1236" w14:textId="77777777" w:rsidR="006A65AB" w:rsidRDefault="006A65AB" w:rsidP="000F0656">
      <w:pPr>
        <w:spacing w:after="0"/>
        <w:jc w:val="both"/>
        <w:rPr>
          <w:rFonts w:cs="Arial"/>
          <w:b/>
          <w:bCs/>
          <w:szCs w:val="16"/>
        </w:rPr>
      </w:pPr>
    </w:p>
    <w:p w14:paraId="523F94A0" w14:textId="5CCEC37D" w:rsidR="00295B79" w:rsidRPr="00295B79" w:rsidRDefault="00295B79" w:rsidP="00295B79">
      <w:pPr>
        <w:spacing w:after="0"/>
        <w:jc w:val="both"/>
        <w:rPr>
          <w:rFonts w:cs="Arial"/>
          <w:szCs w:val="16"/>
        </w:rPr>
      </w:pPr>
      <w:r w:rsidRPr="00295B79">
        <w:rPr>
          <w:rFonts w:cs="Arial"/>
          <w:b/>
          <w:bCs/>
          <w:szCs w:val="16"/>
        </w:rPr>
        <w:t>HR Ratings ratificó la calificación de HR AA+ con Perspectiva Estable</w:t>
      </w:r>
      <w:r w:rsidRPr="00295B79">
        <w:rPr>
          <w:rFonts w:cs="Arial"/>
          <w:szCs w:val="16"/>
        </w:rPr>
        <w:t xml:space="preserve"> para el Municipio de Guanajuato, Estado de Guanajuato, al 31 de marzo de 2025.</w:t>
      </w:r>
    </w:p>
    <w:p w14:paraId="609BBCA1" w14:textId="77777777" w:rsidR="000F0656" w:rsidRDefault="000F0656" w:rsidP="000F0656">
      <w:pPr>
        <w:pStyle w:val="Default"/>
      </w:pPr>
    </w:p>
    <w:p w14:paraId="3E896543" w14:textId="6E952D4B" w:rsidR="00295B79" w:rsidRPr="003B33D2" w:rsidRDefault="00295B79" w:rsidP="00295B79">
      <w:pPr>
        <w:pStyle w:val="Default"/>
        <w:jc w:val="both"/>
        <w:rPr>
          <w:rFonts w:ascii="Calibri" w:hAnsi="Calibri"/>
          <w:color w:val="auto"/>
          <w:sz w:val="22"/>
          <w:szCs w:val="16"/>
          <w:lang w:eastAsia="en-US"/>
        </w:rPr>
      </w:pPr>
      <w:r w:rsidRPr="003B33D2">
        <w:rPr>
          <w:rFonts w:ascii="Calibri" w:hAnsi="Calibri"/>
          <w:color w:val="auto"/>
          <w:sz w:val="22"/>
          <w:szCs w:val="16"/>
          <w:lang w:eastAsia="en-US"/>
        </w:rPr>
        <w:t>La ratificación de la calificación se debe a la expectativa de que el Municipio no haga uso de deuda en los próximos años. Al cierre de 2024, a pesar del uso de parte de la liquidez acumulada con la que contaba el Municipio en distintos programas y proyectos de inversión, cuyo fin fue fortalecer la seguridad pública y los servicios municipales ofrecidos, Guanajuato sostuvo una proporción de Deuda Neta (DN) a Ingresos de Libre Disposición (ILD) negativa, a la par de un nulo Servicio de la Deuda (SD), en línea con lo estimado durante la revisión anterior. Para ejercicios posteriores, se espera que la Entidad reduzca su Gasto Total, debido a que el nivel de inversión ejercido en 2024 fue extraordinario; lo anterior, aunado a una tendencia creciente en los ILD, se supone se verá reflejado en un Balance Primario (BP) a Ingresos Totales (IT) equilibrado promedio entre 2025 y 2026. Con ello, así como con la expectativa de que la Entidad mantendrá el nulo uso de financiamiento de corto o largo plazo, se proyecta que la DN a ILD continuará en niveles negativos, mientras que el Pasivo Circulante (PC) a ILD mostraría un nivel medio de 10.1% entre 2025 y 2027.</w:t>
      </w:r>
    </w:p>
    <w:p w14:paraId="716395ED" w14:textId="77777777" w:rsidR="00295B79" w:rsidRDefault="00295B79" w:rsidP="00C67E8E">
      <w:pPr>
        <w:pStyle w:val="Default"/>
        <w:jc w:val="both"/>
        <w:rPr>
          <w:rFonts w:ascii="Calibri" w:hAnsi="Calibri" w:cs="Times New Roman"/>
          <w:color w:val="auto"/>
          <w:sz w:val="22"/>
          <w:szCs w:val="22"/>
          <w:lang w:eastAsia="en-US"/>
        </w:rPr>
      </w:pPr>
    </w:p>
    <w:p w14:paraId="25E953C5" w14:textId="256819BB" w:rsidR="00C67E8E" w:rsidRDefault="00C67E8E" w:rsidP="000F0656">
      <w:pPr>
        <w:pStyle w:val="Default"/>
      </w:pPr>
    </w:p>
    <w:p w14:paraId="51A05C5B" w14:textId="747C77C1" w:rsidR="000F0656" w:rsidRPr="00D2066F" w:rsidRDefault="000F0656" w:rsidP="000F0656">
      <w:pPr>
        <w:spacing w:after="0"/>
        <w:jc w:val="both"/>
        <w:rPr>
          <w:rFonts w:cs="Arial"/>
          <w:szCs w:val="16"/>
        </w:rPr>
      </w:pPr>
      <w:r w:rsidRPr="00C67E8E">
        <w:rPr>
          <w:rFonts w:cs="Arial"/>
          <w:b/>
          <w:bCs/>
          <w:szCs w:val="16"/>
        </w:rPr>
        <w:t xml:space="preserve">Fitch Ratings </w:t>
      </w:r>
      <w:r w:rsidR="00A15053" w:rsidRPr="00C67E8E">
        <w:rPr>
          <w:rFonts w:cs="Arial"/>
          <w:b/>
          <w:bCs/>
          <w:szCs w:val="16"/>
        </w:rPr>
        <w:t>incrementó</w:t>
      </w:r>
      <w:r w:rsidRPr="00C67E8E">
        <w:rPr>
          <w:rFonts w:cs="Arial"/>
          <w:b/>
          <w:bCs/>
          <w:szCs w:val="16"/>
        </w:rPr>
        <w:t xml:space="preserve"> la calificación de ‘AA+ (</w:t>
      </w:r>
      <w:proofErr w:type="spellStart"/>
      <w:r w:rsidRPr="00C67E8E">
        <w:rPr>
          <w:rFonts w:cs="Arial"/>
          <w:b/>
          <w:bCs/>
          <w:szCs w:val="16"/>
        </w:rPr>
        <w:t>mex</w:t>
      </w:r>
      <w:proofErr w:type="spellEnd"/>
      <w:r w:rsidRPr="00C67E8E">
        <w:rPr>
          <w:rFonts w:cs="Arial"/>
          <w:b/>
          <w:bCs/>
          <w:szCs w:val="16"/>
        </w:rPr>
        <w:t xml:space="preserve">)’ </w:t>
      </w:r>
      <w:r w:rsidR="00A15053" w:rsidRPr="00C67E8E">
        <w:rPr>
          <w:rFonts w:cs="Arial"/>
          <w:b/>
          <w:bCs/>
          <w:szCs w:val="16"/>
        </w:rPr>
        <w:t>a AAA (</w:t>
      </w:r>
      <w:proofErr w:type="spellStart"/>
      <w:r w:rsidR="00A15053" w:rsidRPr="00C67E8E">
        <w:rPr>
          <w:rFonts w:cs="Arial"/>
          <w:b/>
          <w:bCs/>
          <w:szCs w:val="16"/>
        </w:rPr>
        <w:t>mex</w:t>
      </w:r>
      <w:proofErr w:type="spellEnd"/>
      <w:r w:rsidR="00A15053" w:rsidRPr="00C67E8E">
        <w:rPr>
          <w:rFonts w:cs="Arial"/>
          <w:b/>
          <w:bCs/>
          <w:szCs w:val="16"/>
        </w:rPr>
        <w:t>)</w:t>
      </w:r>
      <w:r w:rsidR="00A15053">
        <w:rPr>
          <w:rFonts w:cs="Arial"/>
          <w:szCs w:val="16"/>
        </w:rPr>
        <w:t xml:space="preserve"> </w:t>
      </w:r>
      <w:r w:rsidRPr="00D2066F">
        <w:rPr>
          <w:rFonts w:cs="Arial"/>
          <w:szCs w:val="16"/>
        </w:rPr>
        <w:t xml:space="preserve">al Municipio de Guanajuato, Guanajuato. La Perspectiva es Estable al </w:t>
      </w:r>
      <w:r w:rsidR="00A15053">
        <w:rPr>
          <w:rFonts w:cs="Arial"/>
          <w:szCs w:val="16"/>
        </w:rPr>
        <w:t>15</w:t>
      </w:r>
      <w:r w:rsidRPr="00D2066F">
        <w:rPr>
          <w:rFonts w:cs="Arial"/>
          <w:szCs w:val="16"/>
        </w:rPr>
        <w:t xml:space="preserve"> de </w:t>
      </w:r>
      <w:r w:rsidR="00A15053">
        <w:rPr>
          <w:rFonts w:cs="Arial"/>
          <w:szCs w:val="16"/>
        </w:rPr>
        <w:t>junio</w:t>
      </w:r>
      <w:r w:rsidRPr="00D2066F">
        <w:rPr>
          <w:rFonts w:cs="Arial"/>
          <w:szCs w:val="16"/>
        </w:rPr>
        <w:t xml:space="preserve"> </w:t>
      </w:r>
      <w:r>
        <w:rPr>
          <w:rFonts w:cs="Arial"/>
          <w:szCs w:val="16"/>
        </w:rPr>
        <w:t>de 202</w:t>
      </w:r>
      <w:r w:rsidR="00A15053">
        <w:rPr>
          <w:rFonts w:cs="Arial"/>
          <w:szCs w:val="16"/>
        </w:rPr>
        <w:t>4</w:t>
      </w:r>
      <w:r w:rsidRPr="00D2066F">
        <w:rPr>
          <w:rFonts w:cs="Arial"/>
          <w:szCs w:val="16"/>
        </w:rPr>
        <w:t>.</w:t>
      </w:r>
    </w:p>
    <w:p w14:paraId="6B02EAB0" w14:textId="77777777" w:rsidR="007D1E76" w:rsidRPr="00E74967" w:rsidRDefault="007D1E76" w:rsidP="00CB41C4">
      <w:pPr>
        <w:tabs>
          <w:tab w:val="left" w:leader="underscore" w:pos="9639"/>
        </w:tabs>
        <w:spacing w:after="0" w:line="240" w:lineRule="auto"/>
        <w:jc w:val="both"/>
        <w:rPr>
          <w:rFonts w:cs="Calibri"/>
        </w:rPr>
      </w:pPr>
    </w:p>
    <w:p w14:paraId="0546C56B" w14:textId="74B51E94" w:rsidR="00A15053" w:rsidRPr="00A15053" w:rsidRDefault="00A15053" w:rsidP="00A15053">
      <w:pPr>
        <w:spacing w:after="0"/>
        <w:jc w:val="both"/>
        <w:rPr>
          <w:rFonts w:cs="Arial"/>
          <w:szCs w:val="16"/>
        </w:rPr>
      </w:pPr>
      <w:r w:rsidRPr="00A15053">
        <w:rPr>
          <w:rFonts w:cs="Arial"/>
          <w:szCs w:val="16"/>
        </w:rPr>
        <w:t>El aumento de la calificación del municipio de Guanajuato se sustenta en la estabilidad de las métricas de</w:t>
      </w:r>
      <w:r>
        <w:rPr>
          <w:rFonts w:cs="Arial"/>
          <w:szCs w:val="16"/>
        </w:rPr>
        <w:t xml:space="preserve"> </w:t>
      </w:r>
      <w:r w:rsidRPr="00A15053">
        <w:rPr>
          <w:rFonts w:cs="Arial"/>
          <w:szCs w:val="16"/>
        </w:rPr>
        <w:t>deudas proyectadas en el escenario de calificación de Fitch, en combinación robustecimiento de los</w:t>
      </w:r>
      <w:r>
        <w:rPr>
          <w:rFonts w:cs="Arial"/>
          <w:szCs w:val="16"/>
        </w:rPr>
        <w:t xml:space="preserve"> </w:t>
      </w:r>
      <w:r w:rsidRPr="00A15053">
        <w:rPr>
          <w:rFonts w:cs="Arial"/>
          <w:szCs w:val="16"/>
        </w:rPr>
        <w:t>ingresos</w:t>
      </w:r>
      <w:r>
        <w:rPr>
          <w:rFonts w:cs="Arial"/>
          <w:szCs w:val="16"/>
        </w:rPr>
        <w:t xml:space="preserve"> </w:t>
      </w:r>
      <w:r w:rsidRPr="00A15053">
        <w:rPr>
          <w:rFonts w:cs="Arial"/>
          <w:szCs w:val="16"/>
        </w:rPr>
        <w:t xml:space="preserve">operativos (IO) y en su posición de liquidez, así como en una política conservadora de </w:t>
      </w:r>
      <w:r>
        <w:rPr>
          <w:rFonts w:cs="Arial"/>
          <w:szCs w:val="16"/>
        </w:rPr>
        <w:t>endeudamiento</w:t>
      </w:r>
      <w:r w:rsidRPr="00A15053">
        <w:rPr>
          <w:rFonts w:cs="Arial"/>
          <w:szCs w:val="16"/>
        </w:rPr>
        <w:t>.</w:t>
      </w:r>
    </w:p>
    <w:p w14:paraId="68EB51D2" w14:textId="77777777" w:rsidR="00A15053" w:rsidRDefault="00A15053" w:rsidP="00A15053">
      <w:pPr>
        <w:spacing w:after="0"/>
        <w:rPr>
          <w:rFonts w:cs="Arial"/>
          <w:szCs w:val="16"/>
        </w:rPr>
      </w:pPr>
    </w:p>
    <w:p w14:paraId="69F25506" w14:textId="1FF74785" w:rsidR="007D1E76" w:rsidRDefault="00A15053" w:rsidP="00A15053">
      <w:pPr>
        <w:spacing w:after="0"/>
        <w:jc w:val="both"/>
        <w:rPr>
          <w:rFonts w:cs="Arial"/>
          <w:szCs w:val="16"/>
        </w:rPr>
      </w:pPr>
      <w:r w:rsidRPr="00A15053">
        <w:rPr>
          <w:rFonts w:cs="Arial"/>
          <w:szCs w:val="16"/>
        </w:rPr>
        <w:t>Asimismo, la acción de calificación está respaldada por un cambio en el puntaje de la sostenibilidad de la deuda</w:t>
      </w:r>
      <w:r>
        <w:rPr>
          <w:rFonts w:cs="Arial"/>
          <w:szCs w:val="16"/>
        </w:rPr>
        <w:t xml:space="preserve"> </w:t>
      </w:r>
      <w:r w:rsidRPr="00A15053">
        <w:rPr>
          <w:rFonts w:cs="Arial"/>
          <w:szCs w:val="16"/>
        </w:rPr>
        <w:t>a ‘</w:t>
      </w:r>
      <w:proofErr w:type="spellStart"/>
      <w:r w:rsidRPr="00A15053">
        <w:rPr>
          <w:rFonts w:cs="Arial"/>
          <w:szCs w:val="16"/>
        </w:rPr>
        <w:t>aaa</w:t>
      </w:r>
      <w:proofErr w:type="spellEnd"/>
      <w:r w:rsidRPr="00A15053">
        <w:rPr>
          <w:rFonts w:cs="Arial"/>
          <w:szCs w:val="16"/>
        </w:rPr>
        <w:t>’ desde ‘</w:t>
      </w:r>
      <w:proofErr w:type="spellStart"/>
      <w:r w:rsidRPr="00A15053">
        <w:rPr>
          <w:rFonts w:cs="Arial"/>
          <w:szCs w:val="16"/>
        </w:rPr>
        <w:t>aa</w:t>
      </w:r>
      <w:proofErr w:type="spellEnd"/>
      <w:r w:rsidRPr="00A15053">
        <w:rPr>
          <w:rFonts w:cs="Arial"/>
          <w:szCs w:val="16"/>
        </w:rPr>
        <w:t>’ en combinación con un perfil de deuda en ‘Rango Medio Bajo’. La entidad compara</w:t>
      </w:r>
      <w:r w:rsidR="00025CCE">
        <w:rPr>
          <w:rFonts w:cs="Arial"/>
          <w:szCs w:val="16"/>
        </w:rPr>
        <w:t xml:space="preserve"> </w:t>
      </w:r>
      <w:r w:rsidRPr="00A15053">
        <w:rPr>
          <w:rFonts w:cs="Arial"/>
          <w:szCs w:val="16"/>
        </w:rPr>
        <w:t>favorablemente con entidades pares. La agencia no identificó factores adicionales con efecto sobre la</w:t>
      </w:r>
      <w:r>
        <w:rPr>
          <w:rFonts w:cs="Arial"/>
          <w:szCs w:val="16"/>
        </w:rPr>
        <w:t xml:space="preserve"> </w:t>
      </w:r>
      <w:r w:rsidRPr="00A15053">
        <w:rPr>
          <w:rFonts w:cs="Arial"/>
          <w:szCs w:val="16"/>
        </w:rPr>
        <w:t>calificación del Municipio.</w:t>
      </w:r>
    </w:p>
    <w:p w14:paraId="58BC0457" w14:textId="77777777" w:rsidR="00A15053" w:rsidRPr="00A15053" w:rsidRDefault="00A15053" w:rsidP="00A15053">
      <w:pPr>
        <w:spacing w:after="0"/>
        <w:jc w:val="both"/>
        <w:rPr>
          <w:rFonts w:cs="Arial"/>
          <w:szCs w:val="16"/>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4" w:name="_Toc196465388"/>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4"/>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a) Principales Políticas de control interno:</w:t>
      </w:r>
    </w:p>
    <w:p w14:paraId="1BD51D41" w14:textId="77777777" w:rsidR="007D1E76" w:rsidRDefault="007D1E76" w:rsidP="00CB41C4">
      <w:pPr>
        <w:tabs>
          <w:tab w:val="left" w:leader="underscore" w:pos="9639"/>
        </w:tabs>
        <w:spacing w:after="0" w:line="240" w:lineRule="auto"/>
        <w:jc w:val="both"/>
        <w:rPr>
          <w:rFonts w:cs="Calibri"/>
        </w:rPr>
      </w:pPr>
    </w:p>
    <w:p w14:paraId="123B7220" w14:textId="5463593E" w:rsidR="000F0656" w:rsidRPr="00D2066F" w:rsidRDefault="000F0656" w:rsidP="000F0656">
      <w:pPr>
        <w:spacing w:after="0"/>
        <w:jc w:val="both"/>
        <w:rPr>
          <w:rFonts w:cs="Calibri"/>
        </w:rPr>
      </w:pPr>
      <w:r w:rsidRPr="00D2066F">
        <w:rPr>
          <w:rFonts w:cs="Arial"/>
          <w:szCs w:val="16"/>
        </w:rPr>
        <w:t>Apego estricto a los Lineamientos Generales de Aust</w:t>
      </w:r>
      <w:r w:rsidR="00D77245">
        <w:rPr>
          <w:rFonts w:cs="Arial"/>
          <w:szCs w:val="16"/>
        </w:rPr>
        <w:t>eridad y de Control Interno 2024</w:t>
      </w:r>
      <w:r>
        <w:rPr>
          <w:rFonts w:cs="Arial"/>
          <w:szCs w:val="16"/>
        </w:rPr>
        <w:t xml:space="preserve"> y Disposiciones Administrativas vigentes.</w:t>
      </w:r>
    </w:p>
    <w:p w14:paraId="34894C28" w14:textId="77777777" w:rsidR="000F0656" w:rsidRPr="00E74967" w:rsidRDefault="000F0656" w:rsidP="00CB41C4">
      <w:pPr>
        <w:tabs>
          <w:tab w:val="left" w:leader="underscore" w:pos="9639"/>
        </w:tabs>
        <w:spacing w:after="0" w:line="240" w:lineRule="auto"/>
        <w:jc w:val="both"/>
        <w:rPr>
          <w:rFonts w:cs="Calibri"/>
        </w:rPr>
      </w:pPr>
    </w:p>
    <w:p w14:paraId="59CFF4B2"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b) Medidas de desempeño financiero, metas y alcance:</w:t>
      </w:r>
    </w:p>
    <w:p w14:paraId="1B5AEEC8" w14:textId="77777777" w:rsidR="00592A6D" w:rsidRDefault="00592A6D" w:rsidP="00D77245">
      <w:pPr>
        <w:spacing w:after="0"/>
        <w:jc w:val="both"/>
        <w:rPr>
          <w:rFonts w:cs="Arial"/>
          <w:szCs w:val="16"/>
        </w:rPr>
      </w:pPr>
    </w:p>
    <w:p w14:paraId="524E4B7B" w14:textId="74AC919B" w:rsidR="00D77245" w:rsidRPr="00D2066F" w:rsidRDefault="00D77245" w:rsidP="00D77245">
      <w:pPr>
        <w:spacing w:after="0"/>
        <w:jc w:val="both"/>
        <w:rPr>
          <w:rFonts w:cs="Calibri"/>
        </w:rPr>
      </w:pPr>
      <w:r w:rsidRPr="00D2066F">
        <w:rPr>
          <w:rFonts w:cs="Arial"/>
          <w:szCs w:val="16"/>
        </w:rPr>
        <w:t>Se considera siempre el presupuesto aprobado por el H. Ayuntamiento, para la medición del desempeño financiero, los avances de las metas y sus alcances.</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5" w:name="_Toc196465389"/>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5"/>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Default="007D1E76" w:rsidP="00CB41C4">
      <w:pPr>
        <w:tabs>
          <w:tab w:val="left" w:leader="underscore" w:pos="9639"/>
        </w:tabs>
        <w:spacing w:after="0" w:line="240" w:lineRule="auto"/>
        <w:jc w:val="both"/>
        <w:rPr>
          <w:rFonts w:cs="Calibri"/>
        </w:rPr>
      </w:pPr>
    </w:p>
    <w:p w14:paraId="67988063" w14:textId="77777777" w:rsidR="00D77245" w:rsidRPr="00D2066F" w:rsidRDefault="00D77245" w:rsidP="00D77245">
      <w:pPr>
        <w:spacing w:after="0"/>
        <w:jc w:val="both"/>
        <w:rPr>
          <w:rFonts w:cs="Calibri"/>
        </w:rPr>
      </w:pPr>
      <w:r w:rsidRPr="00D2066F">
        <w:rPr>
          <w:rFonts w:cs="Arial"/>
          <w:szCs w:val="16"/>
        </w:rPr>
        <w:t>No se maneja la emisión de la información financiera en base a segmentos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6" w:name="_Toc196465390"/>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6"/>
    </w:p>
    <w:p w14:paraId="362DF4F4" w14:textId="77777777" w:rsidR="007D1E76" w:rsidRPr="00E74967" w:rsidRDefault="007D1E76" w:rsidP="00CB41C4">
      <w:pPr>
        <w:tabs>
          <w:tab w:val="left" w:leader="underscore" w:pos="9639"/>
        </w:tabs>
        <w:spacing w:after="0" w:line="240" w:lineRule="auto"/>
        <w:jc w:val="both"/>
        <w:rPr>
          <w:rFonts w:cs="Calibri"/>
        </w:rPr>
      </w:pPr>
    </w:p>
    <w:p w14:paraId="1F33DAF4" w14:textId="2A6097C0" w:rsidR="00D77245"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268D065" w14:textId="77777777" w:rsidR="001C34BC" w:rsidRPr="00E74967" w:rsidRDefault="001C34BC" w:rsidP="001C34BC">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7" w:name="_Toc196465391"/>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7"/>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77777777" w:rsidR="007D1E76" w:rsidRDefault="007D1E76" w:rsidP="00CB41C4">
      <w:pPr>
        <w:tabs>
          <w:tab w:val="left" w:leader="underscore" w:pos="9639"/>
        </w:tabs>
        <w:spacing w:after="0" w:line="240" w:lineRule="auto"/>
        <w:jc w:val="both"/>
        <w:rPr>
          <w:rFonts w:cs="Calibri"/>
        </w:rPr>
      </w:pPr>
    </w:p>
    <w:p w14:paraId="6CD6F899" w14:textId="77777777" w:rsidR="00D77245" w:rsidRPr="00D2066F" w:rsidRDefault="00D77245" w:rsidP="00D77245">
      <w:pPr>
        <w:spacing w:after="0"/>
        <w:jc w:val="both"/>
        <w:rPr>
          <w:rFonts w:cs="Calibri"/>
        </w:rPr>
      </w:pPr>
      <w:r w:rsidRPr="00D2066F">
        <w:rPr>
          <w:rFonts w:cs="Arial"/>
          <w:szCs w:val="16"/>
        </w:rPr>
        <w:lastRenderedPageBreak/>
        <w:t>No existen partes relacionadas que pudieran ejercer influencia significativa sobre la toma de decisiones financieras y operativas.</w:t>
      </w:r>
    </w:p>
    <w:p w14:paraId="60C47C07" w14:textId="77777777" w:rsidR="00D77245" w:rsidRDefault="00D77245" w:rsidP="00CB41C4">
      <w:pPr>
        <w:tabs>
          <w:tab w:val="left" w:leader="underscore" w:pos="9639"/>
        </w:tabs>
        <w:spacing w:after="0" w:line="240" w:lineRule="auto"/>
        <w:jc w:val="both"/>
        <w:rPr>
          <w:rFonts w:cs="Calibri"/>
        </w:rPr>
      </w:pPr>
    </w:p>
    <w:p w14:paraId="1DFBBA85" w14:textId="77777777" w:rsidR="006A65AB" w:rsidRDefault="006A65AB" w:rsidP="00CB41C4">
      <w:pPr>
        <w:tabs>
          <w:tab w:val="left" w:leader="underscore" w:pos="9639"/>
        </w:tabs>
        <w:spacing w:after="0" w:line="240" w:lineRule="auto"/>
        <w:jc w:val="both"/>
        <w:rPr>
          <w:rFonts w:cs="Calibri"/>
        </w:rPr>
      </w:pPr>
    </w:p>
    <w:p w14:paraId="24905817" w14:textId="15CB9212" w:rsidR="007D1E76" w:rsidRPr="00E74967" w:rsidRDefault="007D1E76" w:rsidP="006A65AB">
      <w:pPr>
        <w:pStyle w:val="Ttulo2"/>
        <w:rPr>
          <w:rFonts w:cs="Calibri"/>
        </w:rPr>
      </w:pPr>
      <w:bookmarkStart w:id="18" w:name="_Toc196465392"/>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14:paraId="2932D01B" w14:textId="77777777" w:rsidR="006A65AB" w:rsidRDefault="006A65AB" w:rsidP="00CB41C4">
      <w:pPr>
        <w:tabs>
          <w:tab w:val="left" w:leader="underscore" w:pos="9639"/>
        </w:tabs>
        <w:spacing w:after="0" w:line="240" w:lineRule="auto"/>
        <w:jc w:val="both"/>
        <w:rPr>
          <w:rFonts w:cs="Calibri"/>
        </w:rPr>
      </w:pPr>
    </w:p>
    <w:p w14:paraId="7AD6BFD9" w14:textId="77777777" w:rsidR="006A65AB" w:rsidRDefault="006A65AB" w:rsidP="00CB41C4">
      <w:pPr>
        <w:tabs>
          <w:tab w:val="left" w:leader="underscore" w:pos="9639"/>
        </w:tabs>
        <w:spacing w:after="0" w:line="240" w:lineRule="auto"/>
        <w:jc w:val="both"/>
        <w:rPr>
          <w:rFonts w:cs="Calibri"/>
        </w:rPr>
      </w:pPr>
    </w:p>
    <w:p w14:paraId="50903296" w14:textId="1D665BA6"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74D16815" w14:textId="2901A860" w:rsidR="00D5018E" w:rsidRPr="006A65AB" w:rsidRDefault="00D5018E" w:rsidP="00CB41C4">
      <w:pPr>
        <w:tabs>
          <w:tab w:val="left" w:leader="underscore" w:pos="9639"/>
        </w:tabs>
        <w:spacing w:after="0" w:line="240" w:lineRule="auto"/>
        <w:jc w:val="both"/>
        <w:rPr>
          <w:rFonts w:asciiTheme="minorHAnsi" w:hAnsiTheme="minorHAnsi" w:cstheme="minorHAnsi"/>
        </w:rPr>
      </w:pPr>
      <w:r w:rsidRPr="006A65AB">
        <w:rPr>
          <w:rFonts w:asciiTheme="minorHAnsi" w:hAnsiTheme="minorHAnsi" w:cstheme="minorHAnsi"/>
          <w:b/>
        </w:rPr>
        <w:t>Nota 1</w:t>
      </w:r>
      <w:r w:rsidRPr="006A65AB">
        <w:rPr>
          <w:rFonts w:asciiTheme="minorHAnsi" w:hAnsiTheme="minorHAnsi" w:cstheme="minorHAnsi"/>
        </w:rPr>
        <w:t>: En cada una de las 1</w:t>
      </w:r>
      <w:r w:rsidR="005053EE" w:rsidRPr="006A65AB">
        <w:rPr>
          <w:rFonts w:asciiTheme="minorHAnsi" w:hAnsiTheme="minorHAnsi" w:cstheme="minorHAnsi"/>
        </w:rPr>
        <w:t>5</w:t>
      </w:r>
      <w:r w:rsidRPr="006A65AB">
        <w:rPr>
          <w:rFonts w:asciiTheme="minorHAnsi" w:hAnsiTheme="minorHAnsi" w:cstheme="minorHAnsi"/>
        </w:rPr>
        <w:t xml:space="preserve"> notas de gestión administrativa el ente público deberá poner la nota correspondiente o en su caso la leyenda “</w:t>
      </w:r>
      <w:r w:rsidRPr="006A65AB">
        <w:rPr>
          <w:rFonts w:asciiTheme="minorHAnsi" w:hAnsiTheme="minorHAnsi" w:cstheme="minorHAnsi"/>
          <w:b/>
          <w:bCs/>
        </w:rPr>
        <w:t>Esta nota no le aplica al ente público” y una breve explicación del motivo por el cual no le es aplicable</w:t>
      </w:r>
      <w:r w:rsidRPr="006A65AB">
        <w:rPr>
          <w:rFonts w:asciiTheme="minorHAnsi" w:hAnsiTheme="minorHAnsi" w:cstheme="minorHAnsi"/>
        </w:rPr>
        <w:t>.</w:t>
      </w:r>
      <w:r w:rsidR="000310EF" w:rsidRPr="006A65AB">
        <w:rPr>
          <w:rFonts w:asciiTheme="minorHAnsi" w:hAnsiTheme="minorHAnsi" w:cstheme="minorHAnsi"/>
        </w:rPr>
        <w:t xml:space="preserve"> 06-12-2022</w:t>
      </w:r>
    </w:p>
    <w:sectPr w:rsidR="00D5018E" w:rsidRPr="006A65AB"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892F4" w14:textId="77777777" w:rsidR="003C0E8B" w:rsidRDefault="003C0E8B" w:rsidP="00E00323">
      <w:pPr>
        <w:spacing w:after="0" w:line="240" w:lineRule="auto"/>
      </w:pPr>
      <w:r>
        <w:separator/>
      </w:r>
    </w:p>
  </w:endnote>
  <w:endnote w:type="continuationSeparator" w:id="0">
    <w:p w14:paraId="20F22B49" w14:textId="77777777" w:rsidR="003C0E8B" w:rsidRDefault="003C0E8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0ED0401D" w14:textId="77777777" w:rsidR="00203E34" w:rsidRDefault="00203E34" w:rsidP="00D5630A">
        <w:pPr>
          <w:pStyle w:val="Piedepgina"/>
        </w:pPr>
      </w:p>
      <w:tbl>
        <w:tblPr>
          <w:tblW w:w="0" w:type="auto"/>
          <w:jc w:val="center"/>
          <w:tblLook w:val="04A0" w:firstRow="1" w:lastRow="0" w:firstColumn="1" w:lastColumn="0" w:noHBand="0" w:noVBand="1"/>
        </w:tblPr>
        <w:tblGrid>
          <w:gridCol w:w="3402"/>
          <w:gridCol w:w="3050"/>
          <w:gridCol w:w="3226"/>
        </w:tblGrid>
        <w:tr w:rsidR="00203E34" w:rsidRPr="004464E3" w14:paraId="34B920B6" w14:textId="77777777" w:rsidTr="00203E34">
          <w:trPr>
            <w:jc w:val="center"/>
          </w:trPr>
          <w:tc>
            <w:tcPr>
              <w:tcW w:w="3402" w:type="dxa"/>
            </w:tcPr>
            <w:p w14:paraId="66385839" w14:textId="77777777" w:rsidR="00203E34" w:rsidRPr="004464E3" w:rsidRDefault="00203E34" w:rsidP="00D5630A">
              <w:pPr>
                <w:tabs>
                  <w:tab w:val="left" w:pos="1260"/>
                </w:tabs>
                <w:spacing w:after="0"/>
                <w:jc w:val="center"/>
                <w:rPr>
                  <w:sz w:val="20"/>
                </w:rPr>
              </w:pPr>
              <w:r>
                <w:rPr>
                  <w:sz w:val="20"/>
                </w:rPr>
                <w:t>_______________________________</w:t>
              </w:r>
            </w:p>
          </w:tc>
          <w:tc>
            <w:tcPr>
              <w:tcW w:w="3050" w:type="dxa"/>
              <w:shd w:val="clear" w:color="auto" w:fill="auto"/>
            </w:tcPr>
            <w:p w14:paraId="1A9D6BAF" w14:textId="77777777" w:rsidR="00203E34" w:rsidRPr="004464E3" w:rsidRDefault="00203E34" w:rsidP="00D5630A">
              <w:pPr>
                <w:tabs>
                  <w:tab w:val="left" w:pos="1260"/>
                </w:tabs>
                <w:spacing w:after="0"/>
                <w:jc w:val="center"/>
                <w:rPr>
                  <w:sz w:val="20"/>
                </w:rPr>
              </w:pPr>
              <w:r>
                <w:rPr>
                  <w:sz w:val="20"/>
                </w:rPr>
                <w:t>_________________________</w:t>
              </w:r>
            </w:p>
          </w:tc>
          <w:tc>
            <w:tcPr>
              <w:tcW w:w="3226" w:type="dxa"/>
            </w:tcPr>
            <w:p w14:paraId="2438DE69" w14:textId="77777777" w:rsidR="00203E34" w:rsidRPr="004464E3" w:rsidRDefault="00203E34" w:rsidP="00D5630A">
              <w:pPr>
                <w:tabs>
                  <w:tab w:val="left" w:pos="1260"/>
                </w:tabs>
                <w:spacing w:after="0"/>
                <w:jc w:val="center"/>
                <w:rPr>
                  <w:sz w:val="20"/>
                </w:rPr>
              </w:pPr>
              <w:r>
                <w:rPr>
                  <w:sz w:val="20"/>
                </w:rPr>
                <w:t>_____________________________</w:t>
              </w:r>
            </w:p>
          </w:tc>
        </w:tr>
        <w:tr w:rsidR="00203E34" w:rsidRPr="004464E3" w14:paraId="765AFD11" w14:textId="77777777" w:rsidTr="00203E34">
          <w:trPr>
            <w:jc w:val="center"/>
          </w:trPr>
          <w:tc>
            <w:tcPr>
              <w:tcW w:w="3402" w:type="dxa"/>
            </w:tcPr>
            <w:p w14:paraId="3D28B34B" w14:textId="496A4FA6" w:rsidR="00203E34" w:rsidRPr="004464E3" w:rsidRDefault="00203E34" w:rsidP="00D5630A">
              <w:pPr>
                <w:tabs>
                  <w:tab w:val="left" w:pos="1260"/>
                </w:tabs>
                <w:spacing w:after="0" w:line="240" w:lineRule="auto"/>
                <w:jc w:val="center"/>
                <w:rPr>
                  <w:sz w:val="20"/>
                </w:rPr>
              </w:pPr>
              <w:r>
                <w:rPr>
                  <w:b/>
                  <w:bCs/>
                  <w:sz w:val="20"/>
                </w:rPr>
                <w:t>Arq. Samantha Smith Gutiérrez</w:t>
              </w:r>
            </w:p>
            <w:p w14:paraId="5D732188" w14:textId="5A124F7C" w:rsidR="00203E34" w:rsidRPr="004464E3" w:rsidRDefault="00203E34" w:rsidP="00D5630A">
              <w:pPr>
                <w:tabs>
                  <w:tab w:val="left" w:pos="1260"/>
                </w:tabs>
                <w:spacing w:after="0" w:line="240" w:lineRule="auto"/>
                <w:jc w:val="center"/>
                <w:rPr>
                  <w:sz w:val="20"/>
                </w:rPr>
              </w:pPr>
              <w:r>
                <w:rPr>
                  <w:b/>
                  <w:bCs/>
                  <w:sz w:val="20"/>
                </w:rPr>
                <w:t>Presidenta Municipal</w:t>
              </w:r>
            </w:p>
          </w:tc>
          <w:tc>
            <w:tcPr>
              <w:tcW w:w="3050" w:type="dxa"/>
            </w:tcPr>
            <w:p w14:paraId="24DA3DB8" w14:textId="78C10E10" w:rsidR="00203E34" w:rsidRDefault="00203E34" w:rsidP="00D5630A">
              <w:pPr>
                <w:tabs>
                  <w:tab w:val="left" w:pos="1260"/>
                </w:tabs>
                <w:spacing w:after="0" w:line="240" w:lineRule="auto"/>
                <w:jc w:val="center"/>
                <w:rPr>
                  <w:b/>
                  <w:bCs/>
                  <w:sz w:val="20"/>
                </w:rPr>
              </w:pPr>
              <w:r>
                <w:rPr>
                  <w:b/>
                  <w:bCs/>
                  <w:sz w:val="20"/>
                </w:rPr>
                <w:t xml:space="preserve">Lic. Ángel Ernesto Araujo Betanzos </w:t>
              </w:r>
            </w:p>
            <w:p w14:paraId="637E711E" w14:textId="279A6302" w:rsidR="00203E34" w:rsidRPr="004464E3" w:rsidRDefault="00203E34" w:rsidP="00D5630A">
              <w:pPr>
                <w:tabs>
                  <w:tab w:val="left" w:pos="1260"/>
                </w:tabs>
                <w:spacing w:after="0" w:line="240" w:lineRule="auto"/>
                <w:jc w:val="center"/>
                <w:rPr>
                  <w:sz w:val="20"/>
                </w:rPr>
              </w:pPr>
              <w:r>
                <w:rPr>
                  <w:b/>
                  <w:bCs/>
                  <w:sz w:val="20"/>
                </w:rPr>
                <w:t>Síndico</w:t>
              </w:r>
              <w:r w:rsidRPr="004464E3">
                <w:rPr>
                  <w:b/>
                  <w:bCs/>
                  <w:sz w:val="20"/>
                </w:rPr>
                <w:t xml:space="preserve"> del H. Ayuntamiento</w:t>
              </w:r>
            </w:p>
          </w:tc>
          <w:tc>
            <w:tcPr>
              <w:tcW w:w="3226" w:type="dxa"/>
            </w:tcPr>
            <w:p w14:paraId="04C66B5C" w14:textId="77777777" w:rsidR="00203E34" w:rsidRPr="004464E3" w:rsidRDefault="00203E34" w:rsidP="00D5630A">
              <w:pPr>
                <w:tabs>
                  <w:tab w:val="left" w:pos="1260"/>
                </w:tabs>
                <w:spacing w:after="0" w:line="240" w:lineRule="auto"/>
                <w:jc w:val="center"/>
                <w:rPr>
                  <w:sz w:val="20"/>
                </w:rPr>
              </w:pPr>
              <w:r>
                <w:rPr>
                  <w:b/>
                  <w:bCs/>
                  <w:sz w:val="20"/>
                </w:rPr>
                <w:t>C.P. Irma Mandujano García</w:t>
              </w:r>
            </w:p>
            <w:p w14:paraId="4B116BA2" w14:textId="77777777" w:rsidR="00203E34" w:rsidRPr="004464E3" w:rsidRDefault="00203E34" w:rsidP="00D5630A">
              <w:pPr>
                <w:tabs>
                  <w:tab w:val="left" w:pos="1260"/>
                </w:tabs>
                <w:spacing w:after="0" w:line="240" w:lineRule="auto"/>
                <w:jc w:val="center"/>
                <w:rPr>
                  <w:sz w:val="20"/>
                </w:rPr>
              </w:pPr>
              <w:r>
                <w:rPr>
                  <w:b/>
                  <w:bCs/>
                  <w:sz w:val="20"/>
                </w:rPr>
                <w:t>Tesorera</w:t>
              </w:r>
              <w:r w:rsidRPr="004464E3">
                <w:rPr>
                  <w:b/>
                  <w:bCs/>
                  <w:sz w:val="20"/>
                </w:rPr>
                <w:t xml:space="preserve"> Municipal</w:t>
              </w:r>
            </w:p>
          </w:tc>
        </w:tr>
      </w:tbl>
      <w:p w14:paraId="1BAB5F80" w14:textId="77777777" w:rsidR="00203E34" w:rsidRPr="00EA6E8C" w:rsidRDefault="00203E34" w:rsidP="00D5630A">
        <w:pPr>
          <w:tabs>
            <w:tab w:val="left" w:pos="1260"/>
          </w:tabs>
          <w:spacing w:after="0"/>
          <w:rPr>
            <w:b/>
            <w:i/>
            <w:sz w:val="16"/>
          </w:rPr>
        </w:pPr>
      </w:p>
      <w:p w14:paraId="187B81C0" w14:textId="77777777" w:rsidR="00203E34" w:rsidRPr="00F71996" w:rsidRDefault="00203E34" w:rsidP="00D5630A">
        <w:pPr>
          <w:tabs>
            <w:tab w:val="left" w:pos="1260"/>
          </w:tabs>
          <w:spacing w:after="0" w:line="240" w:lineRule="auto"/>
          <w:rPr>
            <w:b/>
            <w:i/>
            <w:sz w:val="16"/>
          </w:rPr>
        </w:pPr>
        <w:r w:rsidRPr="00EA6E8C">
          <w:rPr>
            <w:b/>
            <w:i/>
            <w:sz w:val="16"/>
          </w:rPr>
          <w:t>Bajo protesta de decir verdad declaramos que los Estados Financieros y sus notas, son razonablemente correctos y son responsabilidad del emisor.</w:t>
        </w:r>
      </w:p>
      <w:p w14:paraId="552D6AD4" w14:textId="77777777" w:rsidR="00203E34" w:rsidRDefault="00203E34" w:rsidP="00D5630A">
        <w:pPr>
          <w:pStyle w:val="Piedepgina"/>
          <w:jc w:val="center"/>
        </w:pPr>
        <w:r>
          <w:t xml:space="preserve">Página </w:t>
        </w:r>
        <w:sdt>
          <w:sdtPr>
            <w:id w:val="1099296862"/>
            <w:docPartObj>
              <w:docPartGallery w:val="Page Numbers (Bottom of Page)"/>
              <w:docPartUnique/>
            </w:docPartObj>
          </w:sdtPr>
          <w:sdtContent>
            <w:r>
              <w:fldChar w:fldCharType="begin"/>
            </w:r>
            <w:r>
              <w:instrText>PAGE   \* MERGEFORMAT</w:instrText>
            </w:r>
            <w:r>
              <w:fldChar w:fldCharType="separate"/>
            </w:r>
            <w:r w:rsidR="00D5049C" w:rsidRPr="00D5049C">
              <w:rPr>
                <w:noProof/>
                <w:lang w:val="es-ES"/>
              </w:rPr>
              <w:t>18</w:t>
            </w:r>
            <w:r>
              <w:fldChar w:fldCharType="end"/>
            </w:r>
          </w:sdtContent>
        </w:sdt>
      </w:p>
      <w:p w14:paraId="45A1378E" w14:textId="177F6EF4" w:rsidR="00203E34" w:rsidRDefault="00000000" w:rsidP="00D5630A">
        <w:pPr>
          <w:pStyle w:val="Piedepgina"/>
        </w:pPr>
      </w:p>
    </w:sdtContent>
  </w:sdt>
  <w:p w14:paraId="37983FFD" w14:textId="77777777" w:rsidR="00203E34" w:rsidRDefault="00203E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CA53D" w14:textId="77777777" w:rsidR="003C0E8B" w:rsidRDefault="003C0E8B" w:rsidP="00E00323">
      <w:pPr>
        <w:spacing w:after="0" w:line="240" w:lineRule="auto"/>
      </w:pPr>
      <w:r>
        <w:separator/>
      </w:r>
    </w:p>
  </w:footnote>
  <w:footnote w:type="continuationSeparator" w:id="0">
    <w:p w14:paraId="7048B116" w14:textId="77777777" w:rsidR="003C0E8B" w:rsidRDefault="003C0E8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D2B7F" w14:textId="3D696F8A" w:rsidR="00203E34" w:rsidRPr="004464E3" w:rsidRDefault="00203E34" w:rsidP="00BA34B4">
    <w:pPr>
      <w:pStyle w:val="Encabezado"/>
      <w:tabs>
        <w:tab w:val="left" w:pos="672"/>
        <w:tab w:val="left" w:pos="2988"/>
        <w:tab w:val="center" w:pos="4844"/>
      </w:tabs>
      <w:spacing w:after="0" w:line="240" w:lineRule="auto"/>
      <w:jc w:val="center"/>
      <w:rPr>
        <w:b/>
      </w:rPr>
    </w:pPr>
    <w:r>
      <w:rPr>
        <w:noProof/>
        <w:lang w:eastAsia="es-MX"/>
      </w:rPr>
      <w:drawing>
        <wp:anchor distT="0" distB="0" distL="114300" distR="114300" simplePos="0" relativeHeight="251659264" behindDoc="1" locked="0" layoutInCell="1" allowOverlap="1" wp14:anchorId="10E8D0B6" wp14:editId="72CF1348">
          <wp:simplePos x="0" y="0"/>
          <wp:positionH relativeFrom="margin">
            <wp:align>left</wp:align>
          </wp:positionH>
          <wp:positionV relativeFrom="paragraph">
            <wp:posOffset>-125730</wp:posOffset>
          </wp:positionV>
          <wp:extent cx="619125" cy="571162"/>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0829" t="10805" r="34494" b="18302"/>
                  <a:stretch/>
                </pic:blipFill>
                <pic:spPr bwMode="auto">
                  <a:xfrm>
                    <a:off x="0" y="0"/>
                    <a:ext cx="647340" cy="5971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64E3">
      <w:rPr>
        <w:b/>
      </w:rPr>
      <w:t>MUNICIPIO DE GUANAJUATO</w:t>
    </w:r>
  </w:p>
  <w:p w14:paraId="3ABAAE62" w14:textId="7967A715" w:rsidR="00203E34" w:rsidRDefault="00203E34" w:rsidP="008D73FA">
    <w:pPr>
      <w:pStyle w:val="Encabezado"/>
      <w:tabs>
        <w:tab w:val="left" w:pos="495"/>
        <w:tab w:val="left" w:pos="672"/>
        <w:tab w:val="center" w:pos="4844"/>
      </w:tabs>
      <w:spacing w:after="0" w:line="240" w:lineRule="auto"/>
      <w:rPr>
        <w:b/>
      </w:rPr>
    </w:pPr>
    <w:r>
      <w:rPr>
        <w:b/>
      </w:rPr>
      <w:tab/>
    </w:r>
    <w:r>
      <w:rPr>
        <w:b/>
      </w:rPr>
      <w:tab/>
    </w:r>
    <w:r>
      <w:rPr>
        <w:b/>
      </w:rPr>
      <w:tab/>
    </w:r>
    <w:r w:rsidRPr="004464E3">
      <w:rPr>
        <w:b/>
      </w:rPr>
      <w:t>CORRESPONDI</w:t>
    </w:r>
    <w:r>
      <w:rPr>
        <w:b/>
      </w:rPr>
      <w:t xml:space="preserve">ENTES AL 31 DE </w:t>
    </w:r>
    <w:r w:rsidR="00340A3C">
      <w:rPr>
        <w:b/>
      </w:rPr>
      <w:t>MARZO</w:t>
    </w:r>
    <w:r>
      <w:rPr>
        <w:b/>
      </w:rPr>
      <w:t xml:space="preserve"> DE 202</w:t>
    </w:r>
    <w:r w:rsidR="00340A3C">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60D22"/>
    <w:multiLevelType w:val="hybridMultilevel"/>
    <w:tmpl w:val="23306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7F4FE1"/>
    <w:multiLevelType w:val="hybridMultilevel"/>
    <w:tmpl w:val="48124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D16D7D"/>
    <w:multiLevelType w:val="multilevel"/>
    <w:tmpl w:val="34A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32C13"/>
    <w:multiLevelType w:val="hybridMultilevel"/>
    <w:tmpl w:val="212AD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166B2E"/>
    <w:multiLevelType w:val="multilevel"/>
    <w:tmpl w:val="0E60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1A78E2"/>
    <w:multiLevelType w:val="hybridMultilevel"/>
    <w:tmpl w:val="8F30A636"/>
    <w:lvl w:ilvl="0" w:tplc="924624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94A6E85"/>
    <w:multiLevelType w:val="hybridMultilevel"/>
    <w:tmpl w:val="7842F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64720705">
    <w:abstractNumId w:val="5"/>
  </w:num>
  <w:num w:numId="2" w16cid:durableId="766803165">
    <w:abstractNumId w:val="6"/>
  </w:num>
  <w:num w:numId="3" w16cid:durableId="662127867">
    <w:abstractNumId w:val="0"/>
  </w:num>
  <w:num w:numId="4" w16cid:durableId="1199320695">
    <w:abstractNumId w:val="7"/>
  </w:num>
  <w:num w:numId="5" w16cid:durableId="89090370">
    <w:abstractNumId w:val="3"/>
  </w:num>
  <w:num w:numId="6" w16cid:durableId="56632626">
    <w:abstractNumId w:val="2"/>
  </w:num>
  <w:num w:numId="7" w16cid:durableId="300814761">
    <w:abstractNumId w:val="1"/>
  </w:num>
  <w:num w:numId="8" w16cid:durableId="780296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5CCE"/>
    <w:rsid w:val="00030413"/>
    <w:rsid w:val="000310EF"/>
    <w:rsid w:val="00040D4F"/>
    <w:rsid w:val="000722D8"/>
    <w:rsid w:val="00084EAE"/>
    <w:rsid w:val="00091CE6"/>
    <w:rsid w:val="000B7810"/>
    <w:rsid w:val="000C3365"/>
    <w:rsid w:val="000C6F34"/>
    <w:rsid w:val="000E2B39"/>
    <w:rsid w:val="000E4C3A"/>
    <w:rsid w:val="000F0656"/>
    <w:rsid w:val="00106EE9"/>
    <w:rsid w:val="0012405A"/>
    <w:rsid w:val="0012493A"/>
    <w:rsid w:val="00154BA3"/>
    <w:rsid w:val="0016736C"/>
    <w:rsid w:val="001771DF"/>
    <w:rsid w:val="001854D2"/>
    <w:rsid w:val="001973A2"/>
    <w:rsid w:val="001A004E"/>
    <w:rsid w:val="001C34BC"/>
    <w:rsid w:val="001C710C"/>
    <w:rsid w:val="001C75F2"/>
    <w:rsid w:val="001D2063"/>
    <w:rsid w:val="001D43E9"/>
    <w:rsid w:val="001D69D6"/>
    <w:rsid w:val="001E1EDE"/>
    <w:rsid w:val="00203E34"/>
    <w:rsid w:val="00231FBE"/>
    <w:rsid w:val="00232175"/>
    <w:rsid w:val="0024740E"/>
    <w:rsid w:val="00261A4A"/>
    <w:rsid w:val="002722DD"/>
    <w:rsid w:val="0029578B"/>
    <w:rsid w:val="00295B72"/>
    <w:rsid w:val="00295B79"/>
    <w:rsid w:val="002A1D5B"/>
    <w:rsid w:val="002E1F53"/>
    <w:rsid w:val="002F79A2"/>
    <w:rsid w:val="00310C5E"/>
    <w:rsid w:val="00340A3C"/>
    <w:rsid w:val="003453CA"/>
    <w:rsid w:val="00396D53"/>
    <w:rsid w:val="003B33D2"/>
    <w:rsid w:val="003C0E8B"/>
    <w:rsid w:val="003D47A4"/>
    <w:rsid w:val="003E6C64"/>
    <w:rsid w:val="0043078C"/>
    <w:rsid w:val="00430E61"/>
    <w:rsid w:val="0043484C"/>
    <w:rsid w:val="00435A87"/>
    <w:rsid w:val="004403CE"/>
    <w:rsid w:val="004620C5"/>
    <w:rsid w:val="00482708"/>
    <w:rsid w:val="0048723B"/>
    <w:rsid w:val="004928EA"/>
    <w:rsid w:val="004A1077"/>
    <w:rsid w:val="004A3659"/>
    <w:rsid w:val="004A58C8"/>
    <w:rsid w:val="004C63B1"/>
    <w:rsid w:val="004C66D2"/>
    <w:rsid w:val="004C7312"/>
    <w:rsid w:val="004D77BE"/>
    <w:rsid w:val="004F234D"/>
    <w:rsid w:val="004F6FAC"/>
    <w:rsid w:val="00504B51"/>
    <w:rsid w:val="005053EE"/>
    <w:rsid w:val="00516100"/>
    <w:rsid w:val="00516A8F"/>
    <w:rsid w:val="00516E2E"/>
    <w:rsid w:val="00540261"/>
    <w:rsid w:val="0054701E"/>
    <w:rsid w:val="0057148C"/>
    <w:rsid w:val="005832CC"/>
    <w:rsid w:val="0058492E"/>
    <w:rsid w:val="00592A6D"/>
    <w:rsid w:val="005A651E"/>
    <w:rsid w:val="005B478F"/>
    <w:rsid w:val="005B5531"/>
    <w:rsid w:val="005D3E43"/>
    <w:rsid w:val="005E231E"/>
    <w:rsid w:val="005F2900"/>
    <w:rsid w:val="005F51CC"/>
    <w:rsid w:val="0064059E"/>
    <w:rsid w:val="00654F1D"/>
    <w:rsid w:val="00657009"/>
    <w:rsid w:val="00673F8C"/>
    <w:rsid w:val="00681682"/>
    <w:rsid w:val="00681C79"/>
    <w:rsid w:val="006871CB"/>
    <w:rsid w:val="006A3515"/>
    <w:rsid w:val="006A65AB"/>
    <w:rsid w:val="006B0836"/>
    <w:rsid w:val="006B1ADF"/>
    <w:rsid w:val="006B5FE1"/>
    <w:rsid w:val="006C1127"/>
    <w:rsid w:val="006F0687"/>
    <w:rsid w:val="006F77A8"/>
    <w:rsid w:val="00726802"/>
    <w:rsid w:val="00747A3B"/>
    <w:rsid w:val="00751251"/>
    <w:rsid w:val="007610BC"/>
    <w:rsid w:val="00761960"/>
    <w:rsid w:val="007714AB"/>
    <w:rsid w:val="00774F33"/>
    <w:rsid w:val="00794EC0"/>
    <w:rsid w:val="007B563B"/>
    <w:rsid w:val="007D1E76"/>
    <w:rsid w:val="007D4484"/>
    <w:rsid w:val="007E38A2"/>
    <w:rsid w:val="007E3F3E"/>
    <w:rsid w:val="007F699D"/>
    <w:rsid w:val="00806269"/>
    <w:rsid w:val="00806C98"/>
    <w:rsid w:val="00807C3B"/>
    <w:rsid w:val="00837E88"/>
    <w:rsid w:val="00854ADF"/>
    <w:rsid w:val="0086420E"/>
    <w:rsid w:val="0086459F"/>
    <w:rsid w:val="00881E50"/>
    <w:rsid w:val="00891A96"/>
    <w:rsid w:val="008931AA"/>
    <w:rsid w:val="008C3BB8"/>
    <w:rsid w:val="008D73FA"/>
    <w:rsid w:val="008E076C"/>
    <w:rsid w:val="00917839"/>
    <w:rsid w:val="0092765C"/>
    <w:rsid w:val="00967DDA"/>
    <w:rsid w:val="009736CB"/>
    <w:rsid w:val="009C372B"/>
    <w:rsid w:val="00A1081E"/>
    <w:rsid w:val="00A1248E"/>
    <w:rsid w:val="00A15053"/>
    <w:rsid w:val="00A20D60"/>
    <w:rsid w:val="00A45A6E"/>
    <w:rsid w:val="00A4610E"/>
    <w:rsid w:val="00A6346D"/>
    <w:rsid w:val="00A65256"/>
    <w:rsid w:val="00A730E0"/>
    <w:rsid w:val="00A90973"/>
    <w:rsid w:val="00A93B94"/>
    <w:rsid w:val="00AA2768"/>
    <w:rsid w:val="00AA41E5"/>
    <w:rsid w:val="00AB4AA1"/>
    <w:rsid w:val="00AB722B"/>
    <w:rsid w:val="00AD5C80"/>
    <w:rsid w:val="00AE1F6A"/>
    <w:rsid w:val="00AF4375"/>
    <w:rsid w:val="00AF70FD"/>
    <w:rsid w:val="00B073DE"/>
    <w:rsid w:val="00B07431"/>
    <w:rsid w:val="00B6368B"/>
    <w:rsid w:val="00B86907"/>
    <w:rsid w:val="00BA34B4"/>
    <w:rsid w:val="00BA53FE"/>
    <w:rsid w:val="00BB7FDF"/>
    <w:rsid w:val="00BC4C6B"/>
    <w:rsid w:val="00BD451A"/>
    <w:rsid w:val="00BD5F2D"/>
    <w:rsid w:val="00BE02EB"/>
    <w:rsid w:val="00BE1EC4"/>
    <w:rsid w:val="00BF1337"/>
    <w:rsid w:val="00C34FD2"/>
    <w:rsid w:val="00C4250B"/>
    <w:rsid w:val="00C4625D"/>
    <w:rsid w:val="00C54C12"/>
    <w:rsid w:val="00C67E8E"/>
    <w:rsid w:val="00C91A7D"/>
    <w:rsid w:val="00C93C67"/>
    <w:rsid w:val="00C97E1E"/>
    <w:rsid w:val="00CA32EA"/>
    <w:rsid w:val="00CB41C4"/>
    <w:rsid w:val="00CD499A"/>
    <w:rsid w:val="00CF1316"/>
    <w:rsid w:val="00D13C44"/>
    <w:rsid w:val="00D32331"/>
    <w:rsid w:val="00D40FC2"/>
    <w:rsid w:val="00D42BFB"/>
    <w:rsid w:val="00D5018E"/>
    <w:rsid w:val="00D5049C"/>
    <w:rsid w:val="00D546B2"/>
    <w:rsid w:val="00D5630A"/>
    <w:rsid w:val="00D71762"/>
    <w:rsid w:val="00D77245"/>
    <w:rsid w:val="00D81C6C"/>
    <w:rsid w:val="00D84CC2"/>
    <w:rsid w:val="00D8648E"/>
    <w:rsid w:val="00D90479"/>
    <w:rsid w:val="00D975B1"/>
    <w:rsid w:val="00DD018C"/>
    <w:rsid w:val="00E00323"/>
    <w:rsid w:val="00E11758"/>
    <w:rsid w:val="00E16610"/>
    <w:rsid w:val="00E352CB"/>
    <w:rsid w:val="00E74967"/>
    <w:rsid w:val="00E7559F"/>
    <w:rsid w:val="00E85520"/>
    <w:rsid w:val="00E9132F"/>
    <w:rsid w:val="00EA37F5"/>
    <w:rsid w:val="00EA7915"/>
    <w:rsid w:val="00EC077C"/>
    <w:rsid w:val="00ED7AA0"/>
    <w:rsid w:val="00F067C8"/>
    <w:rsid w:val="00F4110D"/>
    <w:rsid w:val="00F43AC5"/>
    <w:rsid w:val="00F46719"/>
    <w:rsid w:val="00F54F6F"/>
    <w:rsid w:val="00F60DC2"/>
    <w:rsid w:val="00F6102D"/>
    <w:rsid w:val="00F65A92"/>
    <w:rsid w:val="00F6759B"/>
    <w:rsid w:val="00F92F58"/>
    <w:rsid w:val="00FA067D"/>
    <w:rsid w:val="00FC1AE8"/>
    <w:rsid w:val="00FC36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1771DF"/>
    <w:rPr>
      <w:sz w:val="22"/>
      <w:szCs w:val="22"/>
      <w:lang w:eastAsia="en-US"/>
    </w:rPr>
  </w:style>
  <w:style w:type="paragraph" w:customStyle="1" w:styleId="Default">
    <w:name w:val="Default"/>
    <w:rsid w:val="002F79A2"/>
    <w:pPr>
      <w:autoSpaceDE w:val="0"/>
      <w:autoSpaceDN w:val="0"/>
      <w:adjustRightInd w:val="0"/>
    </w:pPr>
    <w:rPr>
      <w:rFonts w:ascii="Arial" w:hAnsi="Arial" w:cs="Arial"/>
      <w:color w:val="000000"/>
      <w:sz w:val="24"/>
      <w:szCs w:val="24"/>
    </w:rPr>
  </w:style>
  <w:style w:type="paragraph" w:customStyle="1" w:styleId="Estndar">
    <w:name w:val="Estándar"/>
    <w:rsid w:val="00C91A7D"/>
    <w:rPr>
      <w:rFonts w:ascii="Times New Roman" w:eastAsia="Times New Roman" w:hAnsi="Times New Roman"/>
      <w:snapToGrid w:val="0"/>
      <w:color w:val="000000"/>
      <w:sz w:val="24"/>
      <w:lang w:val="es-ES" w:eastAsia="es-ES"/>
    </w:rPr>
  </w:style>
  <w:style w:type="character" w:customStyle="1" w:styleId="Mencinsinresolver1">
    <w:name w:val="Mención sin resolver1"/>
    <w:basedOn w:val="Fuentedeprrafopredeter"/>
    <w:uiPriority w:val="99"/>
    <w:semiHidden/>
    <w:unhideWhenUsed/>
    <w:rsid w:val="002E1F53"/>
    <w:rPr>
      <w:color w:val="605E5C"/>
      <w:shd w:val="clear" w:color="auto" w:fill="E1DFDD"/>
    </w:rPr>
  </w:style>
  <w:style w:type="character" w:styleId="Textoennegrita">
    <w:name w:val="Strong"/>
    <w:basedOn w:val="Fuentedeprrafopredeter"/>
    <w:uiPriority w:val="22"/>
    <w:qFormat/>
    <w:rsid w:val="00203E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24345">
      <w:bodyDiv w:val="1"/>
      <w:marLeft w:val="0"/>
      <w:marRight w:val="0"/>
      <w:marTop w:val="0"/>
      <w:marBottom w:val="0"/>
      <w:divBdr>
        <w:top w:val="none" w:sz="0" w:space="0" w:color="auto"/>
        <w:left w:val="none" w:sz="0" w:space="0" w:color="auto"/>
        <w:bottom w:val="none" w:sz="0" w:space="0" w:color="auto"/>
        <w:right w:val="none" w:sz="0" w:space="0" w:color="auto"/>
      </w:divBdr>
    </w:div>
    <w:div w:id="295569014">
      <w:bodyDiv w:val="1"/>
      <w:marLeft w:val="0"/>
      <w:marRight w:val="0"/>
      <w:marTop w:val="0"/>
      <w:marBottom w:val="0"/>
      <w:divBdr>
        <w:top w:val="none" w:sz="0" w:space="0" w:color="auto"/>
        <w:left w:val="none" w:sz="0" w:space="0" w:color="auto"/>
        <w:bottom w:val="none" w:sz="0" w:space="0" w:color="auto"/>
        <w:right w:val="none" w:sz="0" w:space="0" w:color="auto"/>
      </w:divBdr>
    </w:div>
    <w:div w:id="360205097">
      <w:bodyDiv w:val="1"/>
      <w:marLeft w:val="0"/>
      <w:marRight w:val="0"/>
      <w:marTop w:val="0"/>
      <w:marBottom w:val="0"/>
      <w:divBdr>
        <w:top w:val="none" w:sz="0" w:space="0" w:color="auto"/>
        <w:left w:val="none" w:sz="0" w:space="0" w:color="auto"/>
        <w:bottom w:val="none" w:sz="0" w:space="0" w:color="auto"/>
        <w:right w:val="none" w:sz="0" w:space="0" w:color="auto"/>
      </w:divBdr>
    </w:div>
    <w:div w:id="956258545">
      <w:bodyDiv w:val="1"/>
      <w:marLeft w:val="0"/>
      <w:marRight w:val="0"/>
      <w:marTop w:val="0"/>
      <w:marBottom w:val="0"/>
      <w:divBdr>
        <w:top w:val="none" w:sz="0" w:space="0" w:color="auto"/>
        <w:left w:val="none" w:sz="0" w:space="0" w:color="auto"/>
        <w:bottom w:val="none" w:sz="0" w:space="0" w:color="auto"/>
        <w:right w:val="none" w:sz="0" w:space="0" w:color="auto"/>
      </w:divBdr>
    </w:div>
    <w:div w:id="1125730594">
      <w:bodyDiv w:val="1"/>
      <w:marLeft w:val="0"/>
      <w:marRight w:val="0"/>
      <w:marTop w:val="0"/>
      <w:marBottom w:val="0"/>
      <w:divBdr>
        <w:top w:val="none" w:sz="0" w:space="0" w:color="auto"/>
        <w:left w:val="none" w:sz="0" w:space="0" w:color="auto"/>
        <w:bottom w:val="none" w:sz="0" w:space="0" w:color="auto"/>
        <w:right w:val="none" w:sz="0" w:space="0" w:color="auto"/>
      </w:divBdr>
    </w:div>
    <w:div w:id="1147627248">
      <w:bodyDiv w:val="1"/>
      <w:marLeft w:val="0"/>
      <w:marRight w:val="0"/>
      <w:marTop w:val="0"/>
      <w:marBottom w:val="0"/>
      <w:divBdr>
        <w:top w:val="none" w:sz="0" w:space="0" w:color="auto"/>
        <w:left w:val="none" w:sz="0" w:space="0" w:color="auto"/>
        <w:bottom w:val="none" w:sz="0" w:space="0" w:color="auto"/>
        <w:right w:val="none" w:sz="0" w:space="0" w:color="auto"/>
      </w:divBdr>
    </w:div>
    <w:div w:id="1155146916">
      <w:bodyDiv w:val="1"/>
      <w:marLeft w:val="0"/>
      <w:marRight w:val="0"/>
      <w:marTop w:val="0"/>
      <w:marBottom w:val="0"/>
      <w:divBdr>
        <w:top w:val="none" w:sz="0" w:space="0" w:color="auto"/>
        <w:left w:val="none" w:sz="0" w:space="0" w:color="auto"/>
        <w:bottom w:val="none" w:sz="0" w:space="0" w:color="auto"/>
        <w:right w:val="none" w:sz="0" w:space="0" w:color="auto"/>
      </w:divBdr>
    </w:div>
    <w:div w:id="1168129704">
      <w:bodyDiv w:val="1"/>
      <w:marLeft w:val="0"/>
      <w:marRight w:val="0"/>
      <w:marTop w:val="0"/>
      <w:marBottom w:val="0"/>
      <w:divBdr>
        <w:top w:val="none" w:sz="0" w:space="0" w:color="auto"/>
        <w:left w:val="none" w:sz="0" w:space="0" w:color="auto"/>
        <w:bottom w:val="none" w:sz="0" w:space="0" w:color="auto"/>
        <w:right w:val="none" w:sz="0" w:space="0" w:color="auto"/>
      </w:divBdr>
    </w:div>
    <w:div w:id="1303733616">
      <w:bodyDiv w:val="1"/>
      <w:marLeft w:val="0"/>
      <w:marRight w:val="0"/>
      <w:marTop w:val="0"/>
      <w:marBottom w:val="0"/>
      <w:divBdr>
        <w:top w:val="none" w:sz="0" w:space="0" w:color="auto"/>
        <w:left w:val="none" w:sz="0" w:space="0" w:color="auto"/>
        <w:bottom w:val="none" w:sz="0" w:space="0" w:color="auto"/>
        <w:right w:val="none" w:sz="0" w:space="0" w:color="auto"/>
      </w:divBdr>
    </w:div>
    <w:div w:id="1430466131">
      <w:bodyDiv w:val="1"/>
      <w:marLeft w:val="0"/>
      <w:marRight w:val="0"/>
      <w:marTop w:val="0"/>
      <w:marBottom w:val="0"/>
      <w:divBdr>
        <w:top w:val="none" w:sz="0" w:space="0" w:color="auto"/>
        <w:left w:val="none" w:sz="0" w:space="0" w:color="auto"/>
        <w:bottom w:val="none" w:sz="0" w:space="0" w:color="auto"/>
        <w:right w:val="none" w:sz="0" w:space="0" w:color="auto"/>
      </w:divBdr>
    </w:div>
    <w:div w:id="1516531219">
      <w:bodyDiv w:val="1"/>
      <w:marLeft w:val="0"/>
      <w:marRight w:val="0"/>
      <w:marTop w:val="0"/>
      <w:marBottom w:val="0"/>
      <w:divBdr>
        <w:top w:val="none" w:sz="0" w:space="0" w:color="auto"/>
        <w:left w:val="none" w:sz="0" w:space="0" w:color="auto"/>
        <w:bottom w:val="none" w:sz="0" w:space="0" w:color="auto"/>
        <w:right w:val="none" w:sz="0" w:space="0" w:color="auto"/>
      </w:divBdr>
    </w:div>
    <w:div w:id="1627203337">
      <w:bodyDiv w:val="1"/>
      <w:marLeft w:val="0"/>
      <w:marRight w:val="0"/>
      <w:marTop w:val="0"/>
      <w:marBottom w:val="0"/>
      <w:divBdr>
        <w:top w:val="none" w:sz="0" w:space="0" w:color="auto"/>
        <w:left w:val="none" w:sz="0" w:space="0" w:color="auto"/>
        <w:bottom w:val="none" w:sz="0" w:space="0" w:color="auto"/>
        <w:right w:val="none" w:sz="0" w:space="0" w:color="auto"/>
      </w:divBdr>
    </w:div>
    <w:div w:id="164312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letines.guanajuato.gob.mx/2025/02/26/guanajuato-fortalece-su-crecimiento-economi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b.mx/shcp/prensa/el-consejo-de-estabilidad-del-sistema-financiero-actualiza-su-balance-de-riesgos-394374?ta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85C28BAE-FFA8-417D-9780-A3FF93C6F459}">
  <ds:schemaRefs>
    <ds:schemaRef ds:uri="http://schemas.openxmlformats.org/officeDocument/2006/bibliography"/>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19</Pages>
  <Words>4639</Words>
  <Characters>25517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30096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FINANZAS-13730</cp:lastModifiedBy>
  <cp:revision>10</cp:revision>
  <cp:lastPrinted>2025-04-25T15:27:00Z</cp:lastPrinted>
  <dcterms:created xsi:type="dcterms:W3CDTF">2025-04-08T17:17:00Z</dcterms:created>
  <dcterms:modified xsi:type="dcterms:W3CDTF">2025-04-25T15:46:00Z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