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5C1004"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7777777" w:rsidR="007D1E76" w:rsidRDefault="007D1E76" w:rsidP="00CB41C4">
      <w:pPr>
        <w:tabs>
          <w:tab w:val="left" w:leader="underscore" w:pos="9639"/>
        </w:tabs>
        <w:spacing w:after="0" w:line="240" w:lineRule="auto"/>
        <w:jc w:val="both"/>
        <w:rPr>
          <w:rFonts w:cs="Calibri"/>
        </w:rPr>
      </w:pPr>
    </w:p>
    <w:p w14:paraId="6EDF4356" w14:textId="77777777" w:rsidR="004C63B1" w:rsidRPr="009F6E4B" w:rsidRDefault="004C63B1" w:rsidP="00CB41C4">
      <w:pPr>
        <w:tabs>
          <w:tab w:val="left" w:leader="underscore" w:pos="9639"/>
        </w:tabs>
        <w:spacing w:after="0" w:line="240" w:lineRule="auto"/>
        <w:jc w:val="both"/>
        <w:rPr>
          <w:rFonts w:cs="Calibri"/>
          <w:sz w:val="20"/>
          <w:szCs w:val="20"/>
        </w:rPr>
      </w:pPr>
    </w:p>
    <w:p w14:paraId="713110D4" w14:textId="7777777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sz w:val="20"/>
          <w:szCs w:val="20"/>
        </w:rPr>
        <w:t>Los Estados Financieros de los entes públicos, proveen de información financiera a los principales usuarios de la misma, al</w:t>
      </w:r>
      <w:r w:rsidR="00E00323" w:rsidRPr="009F6E4B">
        <w:rPr>
          <w:rFonts w:cs="Calibri"/>
          <w:sz w:val="20"/>
          <w:szCs w:val="20"/>
        </w:rPr>
        <w:t xml:space="preserve"> Congreso y a los ciudadanos.</w:t>
      </w:r>
    </w:p>
    <w:p w14:paraId="025F8809" w14:textId="3F5C2D46" w:rsidR="007D1E76" w:rsidRPr="009F6E4B" w:rsidRDefault="001771DF" w:rsidP="001771DF">
      <w:pPr>
        <w:tabs>
          <w:tab w:val="left" w:pos="6540"/>
        </w:tabs>
        <w:spacing w:after="0" w:line="240" w:lineRule="auto"/>
        <w:jc w:val="both"/>
        <w:rPr>
          <w:rFonts w:cs="Calibri"/>
          <w:sz w:val="20"/>
          <w:szCs w:val="20"/>
        </w:rPr>
      </w:pPr>
      <w:r w:rsidRPr="009F6E4B">
        <w:rPr>
          <w:rFonts w:cs="Calibri"/>
          <w:sz w:val="20"/>
          <w:szCs w:val="20"/>
        </w:rPr>
        <w:tab/>
      </w:r>
    </w:p>
    <w:p w14:paraId="25F26DDB" w14:textId="08E5784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sz w:val="20"/>
          <w:szCs w:val="20"/>
        </w:rPr>
        <w:t>El objetivo del presente documento es la revelación del contexto y de los aspectos económicos</w:t>
      </w:r>
      <w:r w:rsidR="00967DDA" w:rsidRPr="009F6E4B">
        <w:rPr>
          <w:rFonts w:cs="Calibri"/>
          <w:sz w:val="20"/>
          <w:szCs w:val="20"/>
        </w:rPr>
        <w:t>-</w:t>
      </w:r>
      <w:r w:rsidRPr="009F6E4B">
        <w:rPr>
          <w:rFonts w:cs="Calibri"/>
          <w:sz w:val="20"/>
          <w:szCs w:val="20"/>
        </w:rPr>
        <w:t>financieros más relevantes que influyeron en las decisiones del período, y que deberán ser considerados en la elaboración de los estados financieros para la mayor comprensión de los m</w:t>
      </w:r>
      <w:r w:rsidR="00E00323" w:rsidRPr="009F6E4B">
        <w:rPr>
          <w:rFonts w:cs="Calibri"/>
          <w:sz w:val="20"/>
          <w:szCs w:val="20"/>
        </w:rPr>
        <w:t>ismos y sus particularidades.</w:t>
      </w:r>
    </w:p>
    <w:p w14:paraId="606D20F5" w14:textId="77777777" w:rsidR="007D1E76" w:rsidRPr="009F6E4B" w:rsidRDefault="007D1E76" w:rsidP="00CB41C4">
      <w:pPr>
        <w:tabs>
          <w:tab w:val="left" w:leader="underscore" w:pos="9639"/>
        </w:tabs>
        <w:spacing w:after="0" w:line="240" w:lineRule="auto"/>
        <w:jc w:val="both"/>
        <w:rPr>
          <w:rFonts w:cs="Calibri"/>
          <w:sz w:val="20"/>
          <w:szCs w:val="20"/>
        </w:rPr>
      </w:pPr>
    </w:p>
    <w:p w14:paraId="559642E6" w14:textId="7AD61893"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sz w:val="20"/>
          <w:szCs w:val="20"/>
        </w:rPr>
        <w:t xml:space="preserve">De esta manera, </w:t>
      </w:r>
      <w:r w:rsidR="00295B72" w:rsidRPr="009F6E4B">
        <w:rPr>
          <w:rFonts w:cs="Calibri"/>
          <w:sz w:val="20"/>
          <w:szCs w:val="20"/>
        </w:rPr>
        <w:t>se informan y explican las condiciones relacionadas con la información financiera de cada período de gestión; además, de exponer aquellas políticas que podrían afectar la toma de decisiones en períodos posteriores.</w:t>
      </w:r>
      <w:r w:rsidR="00C93C67" w:rsidRPr="009F6E4B">
        <w:rPr>
          <w:rFonts w:cs="Calibri"/>
          <w:sz w:val="20"/>
          <w:szCs w:val="20"/>
        </w:rPr>
        <w:t xml:space="preserve"> (</w:t>
      </w:r>
      <w:r w:rsidR="00C93C67" w:rsidRPr="009F6E4B">
        <w:rPr>
          <w:rFonts w:cs="Calibri"/>
          <w:color w:val="2F5496" w:themeColor="accent5" w:themeShade="BF"/>
          <w:sz w:val="20"/>
          <w:szCs w:val="20"/>
        </w:rPr>
        <w:t>DOF 06-12-2022</w:t>
      </w:r>
      <w:r w:rsidR="00C93C67" w:rsidRPr="009F6E4B">
        <w:rPr>
          <w:rFonts w:cs="Calibri"/>
          <w:sz w:val="20"/>
          <w:szCs w:val="20"/>
        </w:rPr>
        <w:t>)</w:t>
      </w:r>
    </w:p>
    <w:p w14:paraId="009160FA" w14:textId="7F828C13" w:rsidR="007D1E76" w:rsidRPr="009F6E4B" w:rsidRDefault="007D1E76" w:rsidP="00CB41C4">
      <w:pPr>
        <w:pStyle w:val="Prrafodelista"/>
        <w:tabs>
          <w:tab w:val="left" w:leader="underscore" w:pos="9639"/>
        </w:tabs>
        <w:spacing w:after="0" w:line="240" w:lineRule="auto"/>
        <w:jc w:val="both"/>
        <w:rPr>
          <w:rFonts w:cs="Calibri"/>
          <w:sz w:val="20"/>
          <w:szCs w:val="20"/>
        </w:rPr>
      </w:pPr>
    </w:p>
    <w:p w14:paraId="64420E1E" w14:textId="4E44B4A8" w:rsidR="007D1E76" w:rsidRPr="009F6E4B" w:rsidRDefault="007D1E76" w:rsidP="00CB41C4">
      <w:pPr>
        <w:pStyle w:val="Prrafodelista"/>
        <w:numPr>
          <w:ilvl w:val="0"/>
          <w:numId w:val="1"/>
        </w:numPr>
        <w:tabs>
          <w:tab w:val="left" w:leader="underscore" w:pos="9639"/>
        </w:tabs>
        <w:spacing w:after="0" w:line="240" w:lineRule="auto"/>
        <w:jc w:val="both"/>
        <w:rPr>
          <w:rFonts w:cs="Calibri"/>
          <w:sz w:val="20"/>
          <w:szCs w:val="20"/>
        </w:rPr>
      </w:pPr>
      <w:r w:rsidRPr="009F6E4B">
        <w:rPr>
          <w:rFonts w:cs="Calibri"/>
          <w:sz w:val="20"/>
          <w:szCs w:val="20"/>
        </w:rPr>
        <w:t>Las notas de gestión administrativa deben contener los siguientes puntos:</w:t>
      </w:r>
    </w:p>
    <w:p w14:paraId="552470B0" w14:textId="6EC8F965" w:rsidR="007D1E76" w:rsidRPr="009F6E4B" w:rsidRDefault="007D1E76" w:rsidP="00CB41C4">
      <w:pPr>
        <w:tabs>
          <w:tab w:val="left" w:leader="underscore" w:pos="9639"/>
        </w:tabs>
        <w:spacing w:after="0" w:line="240" w:lineRule="auto"/>
        <w:jc w:val="both"/>
        <w:rPr>
          <w:rFonts w:cs="Calibri"/>
          <w:sz w:val="20"/>
          <w:szCs w:val="20"/>
        </w:rPr>
      </w:pPr>
    </w:p>
    <w:sdt>
      <w:sdtPr>
        <w:rPr>
          <w:rFonts w:ascii="Calibri" w:eastAsia="Calibri" w:hAnsi="Calibri" w:cs="Times New Roman"/>
          <w:color w:val="auto"/>
          <w:sz w:val="20"/>
          <w:szCs w:val="20"/>
          <w:lang w:val="es-ES" w:eastAsia="en-US"/>
        </w:rPr>
        <w:id w:val="-191922827"/>
        <w:docPartObj>
          <w:docPartGallery w:val="Table of Contents"/>
          <w:docPartUnique/>
        </w:docPartObj>
      </w:sdtPr>
      <w:sdtEndPr>
        <w:rPr>
          <w:b/>
          <w:bCs/>
        </w:rPr>
      </w:sdtEndPr>
      <w:sdtContent>
        <w:p w14:paraId="68C75D59" w14:textId="5B2ECB74" w:rsidR="00F46719" w:rsidRPr="009F6E4B" w:rsidRDefault="00F46719">
          <w:pPr>
            <w:pStyle w:val="TtulodeTDC"/>
            <w:rPr>
              <w:sz w:val="20"/>
              <w:szCs w:val="20"/>
              <w:lang w:val="es-ES"/>
            </w:rPr>
          </w:pPr>
          <w:r w:rsidRPr="009F6E4B">
            <w:rPr>
              <w:sz w:val="20"/>
              <w:szCs w:val="20"/>
              <w:lang w:val="es-ES"/>
            </w:rPr>
            <w:t>Contenido</w:t>
          </w:r>
        </w:p>
        <w:p w14:paraId="6FC310E2" w14:textId="77777777" w:rsidR="00516100" w:rsidRPr="009F6E4B" w:rsidRDefault="00516100" w:rsidP="00516100">
          <w:pPr>
            <w:rPr>
              <w:sz w:val="20"/>
              <w:szCs w:val="20"/>
              <w:lang w:val="es-ES" w:eastAsia="es-MX"/>
            </w:rPr>
          </w:pPr>
          <w:bookmarkStart w:id="0" w:name="_GoBack"/>
          <w:bookmarkEnd w:id="0"/>
        </w:p>
        <w:p w14:paraId="75FB83FB" w14:textId="77777777" w:rsidR="00603389" w:rsidRDefault="00F46719">
          <w:pPr>
            <w:pStyle w:val="TDC2"/>
            <w:tabs>
              <w:tab w:val="right" w:leader="dot" w:pos="9678"/>
            </w:tabs>
            <w:rPr>
              <w:rFonts w:asciiTheme="minorHAnsi" w:eastAsiaTheme="minorEastAsia" w:hAnsiTheme="minorHAnsi" w:cstheme="minorBidi"/>
              <w:noProof/>
              <w:lang w:eastAsia="es-MX"/>
            </w:rPr>
          </w:pPr>
          <w:r w:rsidRPr="009F6E4B">
            <w:rPr>
              <w:sz w:val="20"/>
              <w:szCs w:val="20"/>
            </w:rPr>
            <w:fldChar w:fldCharType="begin"/>
          </w:r>
          <w:r w:rsidRPr="009F6E4B">
            <w:rPr>
              <w:sz w:val="20"/>
              <w:szCs w:val="20"/>
            </w:rPr>
            <w:instrText xml:space="preserve"> TOC \o "1-3" \h \z \u </w:instrText>
          </w:r>
          <w:r w:rsidRPr="009F6E4B">
            <w:rPr>
              <w:sz w:val="20"/>
              <w:szCs w:val="20"/>
            </w:rPr>
            <w:fldChar w:fldCharType="separate"/>
          </w:r>
          <w:hyperlink w:anchor="_Toc203572756" w:history="1">
            <w:r w:rsidR="00603389" w:rsidRPr="00C61E0E">
              <w:rPr>
                <w:rStyle w:val="Hipervnculo"/>
                <w:rFonts w:cstheme="minorHAnsi"/>
                <w:b/>
                <w:noProof/>
              </w:rPr>
              <w:t>1. Autorización e Historia:</w:t>
            </w:r>
            <w:r w:rsidR="00603389">
              <w:rPr>
                <w:noProof/>
                <w:webHidden/>
              </w:rPr>
              <w:tab/>
            </w:r>
            <w:r w:rsidR="00603389">
              <w:rPr>
                <w:noProof/>
                <w:webHidden/>
              </w:rPr>
              <w:fldChar w:fldCharType="begin"/>
            </w:r>
            <w:r w:rsidR="00603389">
              <w:rPr>
                <w:noProof/>
                <w:webHidden/>
              </w:rPr>
              <w:instrText xml:space="preserve"> PAGEREF _Toc203572756 \h </w:instrText>
            </w:r>
            <w:r w:rsidR="00603389">
              <w:rPr>
                <w:noProof/>
                <w:webHidden/>
              </w:rPr>
            </w:r>
            <w:r w:rsidR="00603389">
              <w:rPr>
                <w:noProof/>
                <w:webHidden/>
              </w:rPr>
              <w:fldChar w:fldCharType="separate"/>
            </w:r>
            <w:r w:rsidR="00603389">
              <w:rPr>
                <w:noProof/>
                <w:webHidden/>
              </w:rPr>
              <w:t>2</w:t>
            </w:r>
            <w:r w:rsidR="00603389">
              <w:rPr>
                <w:noProof/>
                <w:webHidden/>
              </w:rPr>
              <w:fldChar w:fldCharType="end"/>
            </w:r>
          </w:hyperlink>
        </w:p>
        <w:p w14:paraId="4D033B34" w14:textId="77777777" w:rsidR="00603389" w:rsidRDefault="00603389">
          <w:pPr>
            <w:pStyle w:val="TDC2"/>
            <w:tabs>
              <w:tab w:val="right" w:leader="dot" w:pos="9678"/>
            </w:tabs>
            <w:rPr>
              <w:rFonts w:asciiTheme="minorHAnsi" w:eastAsiaTheme="minorEastAsia" w:hAnsiTheme="minorHAnsi" w:cstheme="minorBidi"/>
              <w:noProof/>
              <w:lang w:eastAsia="es-MX"/>
            </w:rPr>
          </w:pPr>
          <w:hyperlink w:anchor="_Toc203572757" w:history="1">
            <w:r w:rsidRPr="00C61E0E">
              <w:rPr>
                <w:rStyle w:val="Hipervnculo"/>
                <w:rFonts w:cstheme="minorHAnsi"/>
                <w:b/>
                <w:noProof/>
              </w:rPr>
              <w:t>2. Describir el panorama Económico y Financiero</w:t>
            </w:r>
            <w:r>
              <w:rPr>
                <w:noProof/>
                <w:webHidden/>
              </w:rPr>
              <w:tab/>
            </w:r>
            <w:r>
              <w:rPr>
                <w:noProof/>
                <w:webHidden/>
              </w:rPr>
              <w:fldChar w:fldCharType="begin"/>
            </w:r>
            <w:r>
              <w:rPr>
                <w:noProof/>
                <w:webHidden/>
              </w:rPr>
              <w:instrText xml:space="preserve"> PAGEREF _Toc203572757 \h </w:instrText>
            </w:r>
            <w:r>
              <w:rPr>
                <w:noProof/>
                <w:webHidden/>
              </w:rPr>
            </w:r>
            <w:r>
              <w:rPr>
                <w:noProof/>
                <w:webHidden/>
              </w:rPr>
              <w:fldChar w:fldCharType="separate"/>
            </w:r>
            <w:r>
              <w:rPr>
                <w:noProof/>
                <w:webHidden/>
              </w:rPr>
              <w:t>2</w:t>
            </w:r>
            <w:r>
              <w:rPr>
                <w:noProof/>
                <w:webHidden/>
              </w:rPr>
              <w:fldChar w:fldCharType="end"/>
            </w:r>
          </w:hyperlink>
        </w:p>
        <w:p w14:paraId="10032005" w14:textId="77777777" w:rsidR="00603389" w:rsidRDefault="00603389">
          <w:pPr>
            <w:pStyle w:val="TDC2"/>
            <w:tabs>
              <w:tab w:val="right" w:leader="dot" w:pos="9678"/>
            </w:tabs>
            <w:rPr>
              <w:rFonts w:asciiTheme="minorHAnsi" w:eastAsiaTheme="minorEastAsia" w:hAnsiTheme="minorHAnsi" w:cstheme="minorBidi"/>
              <w:noProof/>
              <w:lang w:eastAsia="es-MX"/>
            </w:rPr>
          </w:pPr>
          <w:hyperlink w:anchor="_Toc203572758" w:history="1">
            <w:r w:rsidRPr="00C61E0E">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_Toc203572758 \h </w:instrText>
            </w:r>
            <w:r>
              <w:rPr>
                <w:noProof/>
                <w:webHidden/>
              </w:rPr>
            </w:r>
            <w:r>
              <w:rPr>
                <w:noProof/>
                <w:webHidden/>
              </w:rPr>
              <w:fldChar w:fldCharType="separate"/>
            </w:r>
            <w:r>
              <w:rPr>
                <w:noProof/>
                <w:webHidden/>
              </w:rPr>
              <w:t>4</w:t>
            </w:r>
            <w:r>
              <w:rPr>
                <w:noProof/>
                <w:webHidden/>
              </w:rPr>
              <w:fldChar w:fldCharType="end"/>
            </w:r>
          </w:hyperlink>
        </w:p>
        <w:p w14:paraId="62F02965" w14:textId="77777777" w:rsidR="00603389" w:rsidRDefault="00603389">
          <w:pPr>
            <w:pStyle w:val="TDC2"/>
            <w:tabs>
              <w:tab w:val="right" w:leader="dot" w:pos="9678"/>
            </w:tabs>
            <w:rPr>
              <w:rFonts w:asciiTheme="minorHAnsi" w:eastAsiaTheme="minorEastAsia" w:hAnsiTheme="minorHAnsi" w:cstheme="minorBidi"/>
              <w:noProof/>
              <w:lang w:eastAsia="es-MX"/>
            </w:rPr>
          </w:pPr>
          <w:hyperlink w:anchor="_Toc203572759" w:history="1">
            <w:r w:rsidRPr="00C61E0E">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_Toc203572759 \h </w:instrText>
            </w:r>
            <w:r>
              <w:rPr>
                <w:noProof/>
                <w:webHidden/>
              </w:rPr>
            </w:r>
            <w:r>
              <w:rPr>
                <w:noProof/>
                <w:webHidden/>
              </w:rPr>
              <w:fldChar w:fldCharType="separate"/>
            </w:r>
            <w:r>
              <w:rPr>
                <w:noProof/>
                <w:webHidden/>
              </w:rPr>
              <w:t>8</w:t>
            </w:r>
            <w:r>
              <w:rPr>
                <w:noProof/>
                <w:webHidden/>
              </w:rPr>
              <w:fldChar w:fldCharType="end"/>
            </w:r>
          </w:hyperlink>
        </w:p>
        <w:p w14:paraId="3270EFC5" w14:textId="77777777" w:rsidR="00603389" w:rsidRDefault="00603389">
          <w:pPr>
            <w:pStyle w:val="TDC2"/>
            <w:tabs>
              <w:tab w:val="right" w:leader="dot" w:pos="9678"/>
            </w:tabs>
            <w:rPr>
              <w:rFonts w:asciiTheme="minorHAnsi" w:eastAsiaTheme="minorEastAsia" w:hAnsiTheme="minorHAnsi" w:cstheme="minorBidi"/>
              <w:noProof/>
              <w:lang w:eastAsia="es-MX"/>
            </w:rPr>
          </w:pPr>
          <w:hyperlink w:anchor="_Toc203572760" w:history="1">
            <w:r w:rsidRPr="00C61E0E">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_Toc203572760 \h </w:instrText>
            </w:r>
            <w:r>
              <w:rPr>
                <w:noProof/>
                <w:webHidden/>
              </w:rPr>
            </w:r>
            <w:r>
              <w:rPr>
                <w:noProof/>
                <w:webHidden/>
              </w:rPr>
              <w:fldChar w:fldCharType="separate"/>
            </w:r>
            <w:r>
              <w:rPr>
                <w:noProof/>
                <w:webHidden/>
              </w:rPr>
              <w:t>10</w:t>
            </w:r>
            <w:r>
              <w:rPr>
                <w:noProof/>
                <w:webHidden/>
              </w:rPr>
              <w:fldChar w:fldCharType="end"/>
            </w:r>
          </w:hyperlink>
        </w:p>
        <w:p w14:paraId="31AB1782" w14:textId="77777777" w:rsidR="00603389" w:rsidRDefault="00603389">
          <w:pPr>
            <w:pStyle w:val="TDC2"/>
            <w:tabs>
              <w:tab w:val="right" w:leader="dot" w:pos="9678"/>
            </w:tabs>
            <w:rPr>
              <w:rFonts w:asciiTheme="minorHAnsi" w:eastAsiaTheme="minorEastAsia" w:hAnsiTheme="minorHAnsi" w:cstheme="minorBidi"/>
              <w:noProof/>
              <w:lang w:eastAsia="es-MX"/>
            </w:rPr>
          </w:pPr>
          <w:hyperlink w:anchor="_Toc203572761" w:history="1">
            <w:r w:rsidRPr="00C61E0E">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_Toc203572761 \h </w:instrText>
            </w:r>
            <w:r>
              <w:rPr>
                <w:noProof/>
                <w:webHidden/>
              </w:rPr>
            </w:r>
            <w:r>
              <w:rPr>
                <w:noProof/>
                <w:webHidden/>
              </w:rPr>
              <w:fldChar w:fldCharType="separate"/>
            </w:r>
            <w:r>
              <w:rPr>
                <w:noProof/>
                <w:webHidden/>
              </w:rPr>
              <w:t>11</w:t>
            </w:r>
            <w:r>
              <w:rPr>
                <w:noProof/>
                <w:webHidden/>
              </w:rPr>
              <w:fldChar w:fldCharType="end"/>
            </w:r>
          </w:hyperlink>
        </w:p>
        <w:p w14:paraId="0BB19FE2" w14:textId="77777777" w:rsidR="00603389" w:rsidRDefault="00603389">
          <w:pPr>
            <w:pStyle w:val="TDC2"/>
            <w:tabs>
              <w:tab w:val="right" w:leader="dot" w:pos="9678"/>
            </w:tabs>
            <w:rPr>
              <w:rFonts w:asciiTheme="minorHAnsi" w:eastAsiaTheme="minorEastAsia" w:hAnsiTheme="minorHAnsi" w:cstheme="minorBidi"/>
              <w:noProof/>
              <w:lang w:eastAsia="es-MX"/>
            </w:rPr>
          </w:pPr>
          <w:hyperlink w:anchor="_Toc203572762" w:history="1">
            <w:r w:rsidRPr="00C61E0E">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_Toc203572762 \h </w:instrText>
            </w:r>
            <w:r>
              <w:rPr>
                <w:noProof/>
                <w:webHidden/>
              </w:rPr>
            </w:r>
            <w:r>
              <w:rPr>
                <w:noProof/>
                <w:webHidden/>
              </w:rPr>
              <w:fldChar w:fldCharType="separate"/>
            </w:r>
            <w:r>
              <w:rPr>
                <w:noProof/>
                <w:webHidden/>
              </w:rPr>
              <w:t>12</w:t>
            </w:r>
            <w:r>
              <w:rPr>
                <w:noProof/>
                <w:webHidden/>
              </w:rPr>
              <w:fldChar w:fldCharType="end"/>
            </w:r>
          </w:hyperlink>
        </w:p>
        <w:p w14:paraId="384F69C8" w14:textId="77777777" w:rsidR="00603389" w:rsidRDefault="00603389">
          <w:pPr>
            <w:pStyle w:val="TDC2"/>
            <w:tabs>
              <w:tab w:val="right" w:leader="dot" w:pos="9678"/>
            </w:tabs>
            <w:rPr>
              <w:rFonts w:asciiTheme="minorHAnsi" w:eastAsiaTheme="minorEastAsia" w:hAnsiTheme="minorHAnsi" w:cstheme="minorBidi"/>
              <w:noProof/>
              <w:lang w:eastAsia="es-MX"/>
            </w:rPr>
          </w:pPr>
          <w:hyperlink w:anchor="_Toc203572763" w:history="1">
            <w:r w:rsidRPr="00C61E0E">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_Toc203572763 \h </w:instrText>
            </w:r>
            <w:r>
              <w:rPr>
                <w:noProof/>
                <w:webHidden/>
              </w:rPr>
            </w:r>
            <w:r>
              <w:rPr>
                <w:noProof/>
                <w:webHidden/>
              </w:rPr>
              <w:fldChar w:fldCharType="separate"/>
            </w:r>
            <w:r>
              <w:rPr>
                <w:noProof/>
                <w:webHidden/>
              </w:rPr>
              <w:t>14</w:t>
            </w:r>
            <w:r>
              <w:rPr>
                <w:noProof/>
                <w:webHidden/>
              </w:rPr>
              <w:fldChar w:fldCharType="end"/>
            </w:r>
          </w:hyperlink>
        </w:p>
        <w:p w14:paraId="5999FED6" w14:textId="77777777" w:rsidR="00603389" w:rsidRDefault="00603389">
          <w:pPr>
            <w:pStyle w:val="TDC2"/>
            <w:tabs>
              <w:tab w:val="right" w:leader="dot" w:pos="9678"/>
            </w:tabs>
            <w:rPr>
              <w:rFonts w:asciiTheme="minorHAnsi" w:eastAsiaTheme="minorEastAsia" w:hAnsiTheme="minorHAnsi" w:cstheme="minorBidi"/>
              <w:noProof/>
              <w:lang w:eastAsia="es-MX"/>
            </w:rPr>
          </w:pPr>
          <w:hyperlink w:anchor="_Toc203572764" w:history="1">
            <w:r w:rsidRPr="00C61E0E">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_Toc203572764 \h </w:instrText>
            </w:r>
            <w:r>
              <w:rPr>
                <w:noProof/>
                <w:webHidden/>
              </w:rPr>
            </w:r>
            <w:r>
              <w:rPr>
                <w:noProof/>
                <w:webHidden/>
              </w:rPr>
              <w:fldChar w:fldCharType="separate"/>
            </w:r>
            <w:r>
              <w:rPr>
                <w:noProof/>
                <w:webHidden/>
              </w:rPr>
              <w:t>14</w:t>
            </w:r>
            <w:r>
              <w:rPr>
                <w:noProof/>
                <w:webHidden/>
              </w:rPr>
              <w:fldChar w:fldCharType="end"/>
            </w:r>
          </w:hyperlink>
        </w:p>
        <w:p w14:paraId="03D24823" w14:textId="77777777" w:rsidR="00603389" w:rsidRDefault="00603389">
          <w:pPr>
            <w:pStyle w:val="TDC2"/>
            <w:tabs>
              <w:tab w:val="right" w:leader="dot" w:pos="9678"/>
            </w:tabs>
            <w:rPr>
              <w:rFonts w:asciiTheme="minorHAnsi" w:eastAsiaTheme="minorEastAsia" w:hAnsiTheme="minorHAnsi" w:cstheme="minorBidi"/>
              <w:noProof/>
              <w:lang w:eastAsia="es-MX"/>
            </w:rPr>
          </w:pPr>
          <w:hyperlink w:anchor="_Toc203572765" w:history="1">
            <w:r w:rsidRPr="00C61E0E">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_Toc203572765 \h </w:instrText>
            </w:r>
            <w:r>
              <w:rPr>
                <w:noProof/>
                <w:webHidden/>
              </w:rPr>
            </w:r>
            <w:r>
              <w:rPr>
                <w:noProof/>
                <w:webHidden/>
              </w:rPr>
              <w:fldChar w:fldCharType="separate"/>
            </w:r>
            <w:r>
              <w:rPr>
                <w:noProof/>
                <w:webHidden/>
              </w:rPr>
              <w:t>15</w:t>
            </w:r>
            <w:r>
              <w:rPr>
                <w:noProof/>
                <w:webHidden/>
              </w:rPr>
              <w:fldChar w:fldCharType="end"/>
            </w:r>
          </w:hyperlink>
        </w:p>
        <w:p w14:paraId="35262BE0" w14:textId="77777777" w:rsidR="00603389" w:rsidRDefault="00603389">
          <w:pPr>
            <w:pStyle w:val="TDC2"/>
            <w:tabs>
              <w:tab w:val="right" w:leader="dot" w:pos="9678"/>
            </w:tabs>
            <w:rPr>
              <w:rFonts w:asciiTheme="minorHAnsi" w:eastAsiaTheme="minorEastAsia" w:hAnsiTheme="minorHAnsi" w:cstheme="minorBidi"/>
              <w:noProof/>
              <w:lang w:eastAsia="es-MX"/>
            </w:rPr>
          </w:pPr>
          <w:hyperlink w:anchor="_Toc203572766" w:history="1">
            <w:r w:rsidRPr="00C61E0E">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_Toc203572766 \h </w:instrText>
            </w:r>
            <w:r>
              <w:rPr>
                <w:noProof/>
                <w:webHidden/>
              </w:rPr>
            </w:r>
            <w:r>
              <w:rPr>
                <w:noProof/>
                <w:webHidden/>
              </w:rPr>
              <w:fldChar w:fldCharType="separate"/>
            </w:r>
            <w:r>
              <w:rPr>
                <w:noProof/>
                <w:webHidden/>
              </w:rPr>
              <w:t>15</w:t>
            </w:r>
            <w:r>
              <w:rPr>
                <w:noProof/>
                <w:webHidden/>
              </w:rPr>
              <w:fldChar w:fldCharType="end"/>
            </w:r>
          </w:hyperlink>
        </w:p>
        <w:p w14:paraId="146DFCF4" w14:textId="77777777" w:rsidR="00603389" w:rsidRDefault="00603389">
          <w:pPr>
            <w:pStyle w:val="TDC2"/>
            <w:tabs>
              <w:tab w:val="right" w:leader="dot" w:pos="9678"/>
            </w:tabs>
            <w:rPr>
              <w:rFonts w:asciiTheme="minorHAnsi" w:eastAsiaTheme="minorEastAsia" w:hAnsiTheme="minorHAnsi" w:cstheme="minorBidi"/>
              <w:noProof/>
              <w:lang w:eastAsia="es-MX"/>
            </w:rPr>
          </w:pPr>
          <w:hyperlink w:anchor="_Toc203572767" w:history="1">
            <w:r w:rsidRPr="00C61E0E">
              <w:rPr>
                <w:rStyle w:val="Hipervnculo"/>
                <w:rFonts w:cstheme="minorHAnsi"/>
                <w:b/>
                <w:noProof/>
              </w:rPr>
              <w:t>12. Proceso de Mejora:</w:t>
            </w:r>
            <w:r>
              <w:rPr>
                <w:noProof/>
                <w:webHidden/>
              </w:rPr>
              <w:tab/>
            </w:r>
            <w:r>
              <w:rPr>
                <w:noProof/>
                <w:webHidden/>
              </w:rPr>
              <w:fldChar w:fldCharType="begin"/>
            </w:r>
            <w:r>
              <w:rPr>
                <w:noProof/>
                <w:webHidden/>
              </w:rPr>
              <w:instrText xml:space="preserve"> PAGEREF _Toc203572767 \h </w:instrText>
            </w:r>
            <w:r>
              <w:rPr>
                <w:noProof/>
                <w:webHidden/>
              </w:rPr>
            </w:r>
            <w:r>
              <w:rPr>
                <w:noProof/>
                <w:webHidden/>
              </w:rPr>
              <w:fldChar w:fldCharType="separate"/>
            </w:r>
            <w:r>
              <w:rPr>
                <w:noProof/>
                <w:webHidden/>
              </w:rPr>
              <w:t>16</w:t>
            </w:r>
            <w:r>
              <w:rPr>
                <w:noProof/>
                <w:webHidden/>
              </w:rPr>
              <w:fldChar w:fldCharType="end"/>
            </w:r>
          </w:hyperlink>
        </w:p>
        <w:p w14:paraId="5A8DE88B" w14:textId="77777777" w:rsidR="00603389" w:rsidRDefault="00603389">
          <w:pPr>
            <w:pStyle w:val="TDC2"/>
            <w:tabs>
              <w:tab w:val="right" w:leader="dot" w:pos="9678"/>
            </w:tabs>
            <w:rPr>
              <w:rFonts w:asciiTheme="minorHAnsi" w:eastAsiaTheme="minorEastAsia" w:hAnsiTheme="minorHAnsi" w:cstheme="minorBidi"/>
              <w:noProof/>
              <w:lang w:eastAsia="es-MX"/>
            </w:rPr>
          </w:pPr>
          <w:hyperlink w:anchor="_Toc203572768" w:history="1">
            <w:r w:rsidRPr="00C61E0E">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_Toc203572768 \h </w:instrText>
            </w:r>
            <w:r>
              <w:rPr>
                <w:noProof/>
                <w:webHidden/>
              </w:rPr>
            </w:r>
            <w:r>
              <w:rPr>
                <w:noProof/>
                <w:webHidden/>
              </w:rPr>
              <w:fldChar w:fldCharType="separate"/>
            </w:r>
            <w:r>
              <w:rPr>
                <w:noProof/>
                <w:webHidden/>
              </w:rPr>
              <w:t>16</w:t>
            </w:r>
            <w:r>
              <w:rPr>
                <w:noProof/>
                <w:webHidden/>
              </w:rPr>
              <w:fldChar w:fldCharType="end"/>
            </w:r>
          </w:hyperlink>
        </w:p>
        <w:p w14:paraId="111EF66A" w14:textId="77777777" w:rsidR="00603389" w:rsidRDefault="00603389">
          <w:pPr>
            <w:pStyle w:val="TDC2"/>
            <w:tabs>
              <w:tab w:val="right" w:leader="dot" w:pos="9678"/>
            </w:tabs>
            <w:rPr>
              <w:rFonts w:asciiTheme="minorHAnsi" w:eastAsiaTheme="minorEastAsia" w:hAnsiTheme="minorHAnsi" w:cstheme="minorBidi"/>
              <w:noProof/>
              <w:lang w:eastAsia="es-MX"/>
            </w:rPr>
          </w:pPr>
          <w:hyperlink w:anchor="_Toc203572769" w:history="1">
            <w:r w:rsidRPr="00C61E0E">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_Toc203572769 \h </w:instrText>
            </w:r>
            <w:r>
              <w:rPr>
                <w:noProof/>
                <w:webHidden/>
              </w:rPr>
            </w:r>
            <w:r>
              <w:rPr>
                <w:noProof/>
                <w:webHidden/>
              </w:rPr>
              <w:fldChar w:fldCharType="separate"/>
            </w:r>
            <w:r>
              <w:rPr>
                <w:noProof/>
                <w:webHidden/>
              </w:rPr>
              <w:t>17</w:t>
            </w:r>
            <w:r>
              <w:rPr>
                <w:noProof/>
                <w:webHidden/>
              </w:rPr>
              <w:fldChar w:fldCharType="end"/>
            </w:r>
          </w:hyperlink>
        </w:p>
        <w:p w14:paraId="6BDFF2C8" w14:textId="77777777" w:rsidR="00603389" w:rsidRDefault="00603389">
          <w:pPr>
            <w:pStyle w:val="TDC2"/>
            <w:tabs>
              <w:tab w:val="right" w:leader="dot" w:pos="9678"/>
            </w:tabs>
            <w:rPr>
              <w:rFonts w:asciiTheme="minorHAnsi" w:eastAsiaTheme="minorEastAsia" w:hAnsiTheme="minorHAnsi" w:cstheme="minorBidi"/>
              <w:noProof/>
              <w:lang w:eastAsia="es-MX"/>
            </w:rPr>
          </w:pPr>
          <w:hyperlink w:anchor="_Toc203572770" w:history="1">
            <w:r w:rsidRPr="00C61E0E">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_Toc203572770 \h </w:instrText>
            </w:r>
            <w:r>
              <w:rPr>
                <w:noProof/>
                <w:webHidden/>
              </w:rPr>
            </w:r>
            <w:r>
              <w:rPr>
                <w:noProof/>
                <w:webHidden/>
              </w:rPr>
              <w:fldChar w:fldCharType="separate"/>
            </w:r>
            <w:r>
              <w:rPr>
                <w:noProof/>
                <w:webHidden/>
              </w:rPr>
              <w:t>17</w:t>
            </w:r>
            <w:r>
              <w:rPr>
                <w:noProof/>
                <w:webHidden/>
              </w:rPr>
              <w:fldChar w:fldCharType="end"/>
            </w:r>
          </w:hyperlink>
        </w:p>
        <w:p w14:paraId="0971DE4B" w14:textId="77777777" w:rsidR="00603389" w:rsidRDefault="00603389">
          <w:pPr>
            <w:pStyle w:val="TDC2"/>
            <w:tabs>
              <w:tab w:val="right" w:leader="dot" w:pos="9678"/>
            </w:tabs>
            <w:rPr>
              <w:rFonts w:asciiTheme="minorHAnsi" w:eastAsiaTheme="minorEastAsia" w:hAnsiTheme="minorHAnsi" w:cstheme="minorBidi"/>
              <w:noProof/>
              <w:lang w:eastAsia="es-MX"/>
            </w:rPr>
          </w:pPr>
          <w:hyperlink w:anchor="_Toc203572771" w:history="1">
            <w:r w:rsidRPr="00C61E0E">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_Toc203572771 \h </w:instrText>
            </w:r>
            <w:r>
              <w:rPr>
                <w:noProof/>
                <w:webHidden/>
              </w:rPr>
            </w:r>
            <w:r>
              <w:rPr>
                <w:noProof/>
                <w:webHidden/>
              </w:rPr>
              <w:fldChar w:fldCharType="separate"/>
            </w:r>
            <w:r>
              <w:rPr>
                <w:noProof/>
                <w:webHidden/>
              </w:rPr>
              <w:t>17</w:t>
            </w:r>
            <w:r>
              <w:rPr>
                <w:noProof/>
                <w:webHidden/>
              </w:rPr>
              <w:fldChar w:fldCharType="end"/>
            </w:r>
          </w:hyperlink>
        </w:p>
        <w:p w14:paraId="43551857" w14:textId="5DD7408C" w:rsidR="00F46719" w:rsidRPr="009F6E4B" w:rsidRDefault="00F46719">
          <w:pPr>
            <w:rPr>
              <w:sz w:val="20"/>
              <w:szCs w:val="20"/>
            </w:rPr>
          </w:pPr>
          <w:r w:rsidRPr="009F6E4B">
            <w:rPr>
              <w:b/>
              <w:bCs/>
              <w:sz w:val="20"/>
              <w:szCs w:val="20"/>
              <w:lang w:val="es-ES"/>
            </w:rPr>
            <w:fldChar w:fldCharType="end"/>
          </w:r>
        </w:p>
      </w:sdtContent>
    </w:sdt>
    <w:p w14:paraId="54575967" w14:textId="09BF8276" w:rsidR="007D1E76" w:rsidRPr="009F6E4B" w:rsidRDefault="007E38A2" w:rsidP="000C3365">
      <w:pPr>
        <w:pStyle w:val="Ttulo2"/>
        <w:rPr>
          <w:rFonts w:asciiTheme="minorHAnsi" w:hAnsiTheme="minorHAnsi" w:cstheme="minorHAnsi"/>
          <w:b/>
          <w:color w:val="auto"/>
          <w:sz w:val="20"/>
          <w:szCs w:val="20"/>
        </w:rPr>
      </w:pPr>
      <w:bookmarkStart w:id="1" w:name="_Toc203572756"/>
      <w:r w:rsidRPr="009F6E4B">
        <w:rPr>
          <w:rFonts w:asciiTheme="minorHAnsi" w:hAnsiTheme="minorHAnsi" w:cstheme="minorHAnsi"/>
          <w:b/>
          <w:color w:val="auto"/>
          <w:sz w:val="20"/>
          <w:szCs w:val="20"/>
        </w:rPr>
        <w:t>1</w:t>
      </w:r>
      <w:r w:rsidR="007D1E76" w:rsidRPr="009F6E4B">
        <w:rPr>
          <w:rFonts w:asciiTheme="minorHAnsi" w:hAnsiTheme="minorHAnsi" w:cstheme="minorHAnsi"/>
          <w:b/>
          <w:color w:val="auto"/>
          <w:sz w:val="20"/>
          <w:szCs w:val="20"/>
        </w:rPr>
        <w:t>. Autoriza</w:t>
      </w:r>
      <w:r w:rsidR="00E00323" w:rsidRPr="009F6E4B">
        <w:rPr>
          <w:rFonts w:asciiTheme="minorHAnsi" w:hAnsiTheme="minorHAnsi" w:cstheme="minorHAnsi"/>
          <w:b/>
          <w:color w:val="auto"/>
          <w:sz w:val="20"/>
          <w:szCs w:val="20"/>
        </w:rPr>
        <w:t>ción e Historia:</w:t>
      </w:r>
      <w:bookmarkEnd w:id="1"/>
    </w:p>
    <w:p w14:paraId="360DA23B" w14:textId="77777777" w:rsidR="007D1E76" w:rsidRPr="009F6E4B" w:rsidRDefault="007D1E76" w:rsidP="00CB41C4">
      <w:pPr>
        <w:tabs>
          <w:tab w:val="left" w:leader="underscore" w:pos="9639"/>
        </w:tabs>
        <w:spacing w:after="0" w:line="240" w:lineRule="auto"/>
        <w:jc w:val="both"/>
        <w:rPr>
          <w:rFonts w:cs="Calibri"/>
          <w:sz w:val="20"/>
          <w:szCs w:val="20"/>
        </w:rPr>
      </w:pPr>
    </w:p>
    <w:p w14:paraId="441574CB" w14:textId="7777777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sz w:val="20"/>
          <w:szCs w:val="20"/>
        </w:rPr>
        <w:t>Se informará sobre:</w:t>
      </w:r>
    </w:p>
    <w:p w14:paraId="062E74E7" w14:textId="77777777" w:rsidR="007D1E76" w:rsidRPr="009F6E4B" w:rsidRDefault="007D1E76" w:rsidP="00CB41C4">
      <w:pPr>
        <w:tabs>
          <w:tab w:val="left" w:leader="underscore" w:pos="9639"/>
        </w:tabs>
        <w:spacing w:after="0" w:line="240" w:lineRule="auto"/>
        <w:jc w:val="both"/>
        <w:rPr>
          <w:rFonts w:cs="Calibri"/>
          <w:sz w:val="20"/>
          <w:szCs w:val="20"/>
        </w:rPr>
      </w:pPr>
    </w:p>
    <w:p w14:paraId="3F477DA3" w14:textId="72F8AFA1"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a) Fecha de creación del ente</w:t>
      </w:r>
      <w:r w:rsidR="00F43AC5" w:rsidRPr="009F6E4B">
        <w:rPr>
          <w:rFonts w:cs="Calibri"/>
          <w:b/>
          <w:sz w:val="20"/>
          <w:szCs w:val="20"/>
        </w:rPr>
        <w:t xml:space="preserve"> público.</w:t>
      </w:r>
    </w:p>
    <w:p w14:paraId="6A6F7E69" w14:textId="77777777" w:rsidR="001771DF" w:rsidRPr="009F6E4B" w:rsidRDefault="001771DF" w:rsidP="001771DF">
      <w:pPr>
        <w:spacing w:after="0"/>
        <w:jc w:val="both"/>
        <w:rPr>
          <w:rFonts w:cs="Calibri"/>
          <w:sz w:val="20"/>
          <w:szCs w:val="20"/>
        </w:rPr>
      </w:pPr>
    </w:p>
    <w:p w14:paraId="46C6D340" w14:textId="77777777" w:rsidR="001771DF" w:rsidRPr="009F6E4B" w:rsidRDefault="001771DF" w:rsidP="001771DF">
      <w:pPr>
        <w:spacing w:after="0"/>
        <w:jc w:val="both"/>
        <w:rPr>
          <w:rFonts w:cs="Calibri"/>
          <w:sz w:val="20"/>
          <w:szCs w:val="20"/>
        </w:rPr>
      </w:pPr>
      <w:r w:rsidRPr="009F6E4B">
        <w:rPr>
          <w:rFonts w:cs="Calibri"/>
          <w:sz w:val="20"/>
          <w:szCs w:val="20"/>
        </w:rPr>
        <w:t>El artículo 33 de la Constitución Política para el Estado de Guanajuato reconoce la existencia del Municipio de Guanajuato, el cual fue creado el 1° de enero de 1985 con RFC MGU850101JD5.</w:t>
      </w:r>
    </w:p>
    <w:p w14:paraId="4F52E4E0" w14:textId="77777777" w:rsidR="007D1E76" w:rsidRPr="009F6E4B" w:rsidRDefault="007D1E76" w:rsidP="00CB41C4">
      <w:pPr>
        <w:tabs>
          <w:tab w:val="left" w:leader="underscore" w:pos="9639"/>
        </w:tabs>
        <w:spacing w:after="0" w:line="240" w:lineRule="auto"/>
        <w:jc w:val="both"/>
        <w:rPr>
          <w:rFonts w:cs="Calibri"/>
          <w:sz w:val="20"/>
          <w:szCs w:val="20"/>
        </w:rPr>
      </w:pPr>
    </w:p>
    <w:p w14:paraId="3A2353BF"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b) Principales cambios en su estructura (interna históricamente).</w:t>
      </w:r>
    </w:p>
    <w:p w14:paraId="57135085" w14:textId="77777777" w:rsidR="001771DF" w:rsidRPr="009F6E4B" w:rsidRDefault="001771DF" w:rsidP="00CB41C4">
      <w:pPr>
        <w:tabs>
          <w:tab w:val="left" w:leader="underscore" w:pos="9639"/>
        </w:tabs>
        <w:spacing w:after="0" w:line="240" w:lineRule="auto"/>
        <w:jc w:val="both"/>
        <w:rPr>
          <w:rFonts w:cs="Calibri"/>
          <w:sz w:val="20"/>
          <w:szCs w:val="20"/>
        </w:rPr>
      </w:pPr>
    </w:p>
    <w:p w14:paraId="1B04E0C6" w14:textId="77777777" w:rsidR="001771DF" w:rsidRPr="009F6E4B" w:rsidRDefault="001771DF" w:rsidP="001771DF">
      <w:pPr>
        <w:jc w:val="both"/>
        <w:rPr>
          <w:rFonts w:eastAsia="Times New Roman" w:cs="Arial"/>
          <w:sz w:val="20"/>
          <w:szCs w:val="20"/>
        </w:rPr>
      </w:pPr>
      <w:r w:rsidRPr="009F6E4B">
        <w:rPr>
          <w:rFonts w:eastAsia="Times New Roman" w:cs="Arial"/>
          <w:sz w:val="20"/>
          <w:szCs w:val="20"/>
        </w:rPr>
        <w:t>Presidentes Municipales de los últimos tres periodos:</w:t>
      </w:r>
    </w:p>
    <w:p w14:paraId="73E75B7C" w14:textId="42E2B9D7" w:rsidR="004C63B1" w:rsidRPr="009F6E4B" w:rsidRDefault="004C63B1" w:rsidP="001771DF">
      <w:pPr>
        <w:pStyle w:val="Sinespaciado"/>
        <w:rPr>
          <w:sz w:val="20"/>
          <w:szCs w:val="20"/>
        </w:rPr>
      </w:pPr>
      <w:r w:rsidRPr="009F6E4B">
        <w:rPr>
          <w:sz w:val="20"/>
          <w:szCs w:val="20"/>
        </w:rPr>
        <w:t>Arq. Samantha Smith Gutiérrez (2024-2027)</w:t>
      </w:r>
    </w:p>
    <w:p w14:paraId="252FD955" w14:textId="3A83F8AA" w:rsidR="001771DF" w:rsidRPr="009F6E4B" w:rsidRDefault="001771DF" w:rsidP="001771DF">
      <w:pPr>
        <w:pStyle w:val="Sinespaciado"/>
        <w:rPr>
          <w:sz w:val="20"/>
          <w:szCs w:val="20"/>
        </w:rPr>
      </w:pPr>
      <w:r w:rsidRPr="009F6E4B">
        <w:rPr>
          <w:sz w:val="20"/>
          <w:szCs w:val="20"/>
        </w:rPr>
        <w:t>Lic. Mario Alejandro Navarro Saldaña (2021-2024)</w:t>
      </w:r>
    </w:p>
    <w:p w14:paraId="37B15DB5" w14:textId="77777777" w:rsidR="001771DF" w:rsidRPr="009F6E4B" w:rsidRDefault="001771DF" w:rsidP="001771DF">
      <w:pPr>
        <w:pStyle w:val="Sinespaciado"/>
        <w:rPr>
          <w:sz w:val="20"/>
          <w:szCs w:val="20"/>
        </w:rPr>
      </w:pPr>
      <w:r w:rsidRPr="009F6E4B">
        <w:rPr>
          <w:sz w:val="20"/>
          <w:szCs w:val="20"/>
        </w:rPr>
        <w:t>C. Armando López Ramírez (Presidente Interino 2021)</w:t>
      </w:r>
    </w:p>
    <w:p w14:paraId="2A64BBB3" w14:textId="77777777" w:rsidR="001771DF" w:rsidRPr="009F6E4B" w:rsidRDefault="001771DF" w:rsidP="001771DF">
      <w:pPr>
        <w:pStyle w:val="Sinespaciado"/>
        <w:rPr>
          <w:sz w:val="20"/>
          <w:szCs w:val="20"/>
        </w:rPr>
      </w:pPr>
      <w:r w:rsidRPr="009F6E4B">
        <w:rPr>
          <w:sz w:val="20"/>
          <w:szCs w:val="20"/>
        </w:rPr>
        <w:t>Lic. Mario Alejandro Navarro Saldaña (2018-2021)</w:t>
      </w:r>
    </w:p>
    <w:p w14:paraId="75819EC9" w14:textId="77777777" w:rsidR="001771DF" w:rsidRPr="009F6E4B" w:rsidRDefault="001771DF" w:rsidP="001771DF">
      <w:pPr>
        <w:pStyle w:val="Sinespaciado"/>
        <w:rPr>
          <w:sz w:val="20"/>
          <w:szCs w:val="20"/>
        </w:rPr>
      </w:pPr>
      <w:r w:rsidRPr="009F6E4B">
        <w:rPr>
          <w:sz w:val="20"/>
          <w:szCs w:val="20"/>
        </w:rPr>
        <w:t>Lic. Edgar Castro Cerrillo (2015-2018)</w:t>
      </w:r>
    </w:p>
    <w:p w14:paraId="08B58048" w14:textId="77777777" w:rsidR="001771DF" w:rsidRPr="009F6E4B" w:rsidRDefault="001771DF" w:rsidP="001771DF">
      <w:pPr>
        <w:pStyle w:val="Sinespaciado"/>
        <w:rPr>
          <w:sz w:val="20"/>
          <w:szCs w:val="20"/>
        </w:rPr>
      </w:pPr>
      <w:r w:rsidRPr="009F6E4B">
        <w:rPr>
          <w:sz w:val="20"/>
          <w:szCs w:val="20"/>
        </w:rPr>
        <w:t>Ing. Luis Fernando Gutiérrez Márquez (2012-2015)</w:t>
      </w:r>
    </w:p>
    <w:p w14:paraId="14694007" w14:textId="77777777" w:rsidR="00BA34B4" w:rsidRPr="009F6E4B" w:rsidRDefault="00BA34B4" w:rsidP="00516A8F">
      <w:pPr>
        <w:tabs>
          <w:tab w:val="left" w:leader="underscore" w:pos="9639"/>
        </w:tabs>
        <w:spacing w:after="0" w:line="240" w:lineRule="auto"/>
        <w:jc w:val="both"/>
        <w:rPr>
          <w:rFonts w:cs="Calibri"/>
          <w:sz w:val="20"/>
          <w:szCs w:val="20"/>
        </w:rPr>
      </w:pPr>
    </w:p>
    <w:p w14:paraId="5A494C73" w14:textId="0B5C4CA9" w:rsidR="00BE02EB" w:rsidRPr="009F6E4B" w:rsidRDefault="00BE02EB" w:rsidP="000C3365">
      <w:pPr>
        <w:pStyle w:val="Ttulo2"/>
        <w:rPr>
          <w:rFonts w:asciiTheme="minorHAnsi" w:hAnsiTheme="minorHAnsi" w:cstheme="minorHAnsi"/>
          <w:b/>
          <w:color w:val="auto"/>
          <w:sz w:val="20"/>
          <w:szCs w:val="20"/>
        </w:rPr>
      </w:pPr>
      <w:bookmarkStart w:id="2" w:name="_Hlk180413377"/>
      <w:bookmarkStart w:id="3" w:name="_Toc203572757"/>
      <w:r w:rsidRPr="009F6E4B">
        <w:rPr>
          <w:rFonts w:asciiTheme="minorHAnsi" w:hAnsiTheme="minorHAnsi" w:cstheme="minorHAnsi"/>
          <w:b/>
          <w:color w:val="auto"/>
          <w:sz w:val="20"/>
          <w:szCs w:val="20"/>
        </w:rPr>
        <w:t xml:space="preserve">2. </w:t>
      </w:r>
      <w:r w:rsidR="00A1081E" w:rsidRPr="009F6E4B">
        <w:rPr>
          <w:rFonts w:asciiTheme="minorHAnsi" w:hAnsiTheme="minorHAnsi" w:cstheme="minorHAnsi"/>
          <w:b/>
          <w:color w:val="auto"/>
          <w:sz w:val="20"/>
          <w:szCs w:val="20"/>
        </w:rPr>
        <w:t>Describir el p</w:t>
      </w:r>
      <w:r w:rsidR="00B6368B" w:rsidRPr="009F6E4B">
        <w:rPr>
          <w:rFonts w:asciiTheme="minorHAnsi" w:hAnsiTheme="minorHAnsi" w:cstheme="minorHAnsi"/>
          <w:b/>
          <w:color w:val="auto"/>
          <w:sz w:val="20"/>
          <w:szCs w:val="20"/>
        </w:rPr>
        <w:t>anorama Económico y Financiero</w:t>
      </w:r>
      <w:bookmarkEnd w:id="3"/>
    </w:p>
    <w:bookmarkEnd w:id="2"/>
    <w:p w14:paraId="0AB9191B" w14:textId="77777777" w:rsidR="0029578B" w:rsidRPr="009F6E4B" w:rsidRDefault="0029578B" w:rsidP="00516A8F">
      <w:pPr>
        <w:tabs>
          <w:tab w:val="left" w:leader="underscore" w:pos="9639"/>
        </w:tabs>
        <w:spacing w:after="0" w:line="240" w:lineRule="auto"/>
        <w:jc w:val="both"/>
        <w:rPr>
          <w:rFonts w:cs="Calibri"/>
          <w:sz w:val="20"/>
          <w:szCs w:val="20"/>
        </w:rPr>
      </w:pPr>
    </w:p>
    <w:p w14:paraId="7E9E4ADE" w14:textId="5F318DF3" w:rsidR="000A7BB1" w:rsidRPr="009F6E4B" w:rsidRDefault="000A7BB1" w:rsidP="00F4110D">
      <w:pPr>
        <w:jc w:val="both"/>
        <w:rPr>
          <w:rFonts w:cs="Arial"/>
          <w:sz w:val="20"/>
          <w:szCs w:val="20"/>
        </w:rPr>
      </w:pPr>
      <w:r w:rsidRPr="009F6E4B">
        <w:rPr>
          <w:rFonts w:cs="Arial"/>
          <w:sz w:val="20"/>
          <w:szCs w:val="20"/>
        </w:rPr>
        <w:t>La información disponible para el segundo trimestre de 2025 sugiere que la actividad económica mundial se habría expandido a un ritmo similar al registrado a inicios del año, aunque con un desempeño diferenciado entre economías avanzadas y emergentes. Por su parte, los indicadores relativos a los flujos de comercio internacional, si bien con información incompleta, apuntan a una moderación en meses recientes. Hacia delante, en vista de la prevalencia de tensiones comerciales a nivel mundial, así como del agudizamiento de conflictos geopolíticos, el panorama para la economía global aún está sujeto a un alto grado de incertidumbre. En este contexto, las previsiones más recientes para el crecimiento económico mundial anticipan una desaceleración durante 2025 y 2026, si bien más moderada que la prevista en abril.</w:t>
      </w:r>
    </w:p>
    <w:p w14:paraId="0B1F9C37" w14:textId="6BF6F7E9" w:rsidR="000A7BB1" w:rsidRPr="009F6E4B" w:rsidRDefault="00177339" w:rsidP="00F4110D">
      <w:pPr>
        <w:jc w:val="both"/>
        <w:rPr>
          <w:rFonts w:cs="Arial"/>
          <w:sz w:val="20"/>
          <w:szCs w:val="20"/>
        </w:rPr>
      </w:pPr>
      <w:r w:rsidRPr="009F6E4B">
        <w:rPr>
          <w:rFonts w:cs="Arial"/>
          <w:sz w:val="20"/>
          <w:szCs w:val="20"/>
        </w:rPr>
        <w:lastRenderedPageBreak/>
        <w:t xml:space="preserve">Tras haber aumentado a finales del año pasado y principios de este, la inflación general disminuyó en meses recientes en la mayoría de las principales economías avanzadas, ubicándose en algunos casos cerca, o incluso por debajo, del objetivo de inflación considerado por cada banco central. Asimismo, esta variable ha registrado disminuciones en lo que va de 2025 en varias economías emergentes. </w:t>
      </w:r>
    </w:p>
    <w:p w14:paraId="0C202808" w14:textId="25628A6A" w:rsidR="00177339" w:rsidRPr="009F6E4B" w:rsidRDefault="00177339" w:rsidP="00F4110D">
      <w:pPr>
        <w:jc w:val="both"/>
        <w:rPr>
          <w:rFonts w:cs="Arial"/>
          <w:sz w:val="20"/>
          <w:szCs w:val="20"/>
        </w:rPr>
      </w:pPr>
      <w:r w:rsidRPr="009F6E4B">
        <w:rPr>
          <w:rFonts w:cs="Arial"/>
          <w:sz w:val="20"/>
          <w:szCs w:val="20"/>
        </w:rPr>
        <w:t>En este contexto, los mercados financieros a nivel global continuaron registrando episodios de elevada volatilidad como resultado, principalmente, del anuncio e implementación de medidas en materia de política comercial, en particular durante abril; de la incertidumbre en torno a la evolución de la actividad económica, tanto a nivel mundial como para Estados Unidos, así como del agudizamiento reciente de las tensiones geopolíticas. Asimismo, prevalece incertidumbre sobre la trayectoria de política monetaria global ante la persistencia de los riesgos a la baja para la actividad económica y al alza para la inflación. No obstante, se estima que, tras el significativo apretamiento registrado a principios de abril, las condiciones financieras globales podrían relajarse para la mayor parte del segundo trimestre del año, aunque las tasas de largo plazo se mantendrían elevadas.</w:t>
      </w:r>
    </w:p>
    <w:p w14:paraId="5064D429" w14:textId="3D2EC3C9" w:rsidR="00177339" w:rsidRPr="009F6E4B" w:rsidRDefault="00177339" w:rsidP="00F4110D">
      <w:pPr>
        <w:jc w:val="both"/>
        <w:rPr>
          <w:rFonts w:cs="Arial"/>
          <w:sz w:val="20"/>
          <w:szCs w:val="20"/>
        </w:rPr>
      </w:pPr>
      <w:r w:rsidRPr="009F6E4B">
        <w:rPr>
          <w:rFonts w:cs="Arial"/>
          <w:sz w:val="20"/>
          <w:szCs w:val="20"/>
        </w:rPr>
        <w:t>Hacia delante, la estabilidad financiera podría verse afectada si se materializaran algunos de los riesgos globales que persisten. Entre estos, destaca la posibilidad de que la actividad económica mundial se desacelere más de lo previsto o que permanezca débil por un periodo prolongado. Por su parte, el surgimiento de nuevas presiones inflacionarias a nivel global podría derivar en un relajamiento monetario menor al previsto. Asimismo, dada la persistencia del alto grado de incertidumbre en los ámbitos económico, financiero, político y geopolítico, la posible materialización de sorpresas en la evolución de las condiciones financieras globales con respecto de lo previsto podría tener implicaciones adversas para el buen funcionamiento de los mercados y del sistema financiero internacional.</w:t>
      </w:r>
    </w:p>
    <w:p w14:paraId="4619D4A7" w14:textId="7DD7A8CB" w:rsidR="00177339" w:rsidRPr="009F6E4B" w:rsidRDefault="00177339" w:rsidP="00F4110D">
      <w:pPr>
        <w:jc w:val="both"/>
        <w:rPr>
          <w:rFonts w:cs="Arial"/>
          <w:sz w:val="20"/>
          <w:szCs w:val="20"/>
        </w:rPr>
      </w:pPr>
      <w:r w:rsidRPr="009F6E4B">
        <w:rPr>
          <w:rFonts w:cs="Arial"/>
          <w:sz w:val="20"/>
          <w:szCs w:val="20"/>
        </w:rPr>
        <w:t>En México, el comportamiento de los mercados financieros locales se ha mantenido ordenado, mientras que la volatilidad y fluctuaciones en los precios de los activos ha sido relativamente moderada, a pesar del entorno externo y la cambiante política comerci</w:t>
      </w:r>
      <w:r w:rsidR="00FA4166" w:rsidRPr="009F6E4B">
        <w:rPr>
          <w:rFonts w:cs="Arial"/>
          <w:sz w:val="20"/>
          <w:szCs w:val="20"/>
        </w:rPr>
        <w:t xml:space="preserve">al global. En este contexto, </w:t>
      </w:r>
      <w:r w:rsidRPr="009F6E4B">
        <w:rPr>
          <w:rFonts w:cs="Arial"/>
          <w:sz w:val="20"/>
          <w:szCs w:val="20"/>
        </w:rPr>
        <w:t>el tipo de cambio del peso mexicano con respecto al dólar estadounidense acumuló una apreciación poco mayor a 6 por ciento. Por su parte, las tasas de interés de los valores gubernamentales registraron disminuciones en prácticamente todos sus plazos, si bien concentradas en la parte corta de la curva de rendimientos; mientras que los principales índices bursátiles aumentaron alrededor de 5 por ciento en el mismo periodo.</w:t>
      </w:r>
    </w:p>
    <w:p w14:paraId="47943093" w14:textId="5DF4408D" w:rsidR="00177339" w:rsidRPr="009F6E4B" w:rsidRDefault="00177339" w:rsidP="00F4110D">
      <w:pPr>
        <w:jc w:val="both"/>
        <w:rPr>
          <w:rFonts w:cs="Arial"/>
          <w:sz w:val="20"/>
          <w:szCs w:val="20"/>
        </w:rPr>
      </w:pPr>
      <w:r w:rsidRPr="009F6E4B">
        <w:rPr>
          <w:rFonts w:cs="Arial"/>
          <w:sz w:val="20"/>
          <w:szCs w:val="20"/>
        </w:rPr>
        <w:t xml:space="preserve">En cuanto a la actividad económica nacional, la información disponible, si bien limitada, sugiere que se habría mantenido creciendo a un ritmo bajo durante el segundo trimestre del año. En lo sucesivo, el complejo contexto internacional implica un alto grado de incertidumbre e importantes riesgos a la baja. Por su parte, la calificación crediticia soberana mantiene el grado de inversión por parte de todas las agencias que la evalúan, incluyendo las más relevantes a nivel global, situación que recientemente fue ratificada por una de ellas, tanto en su nivel como en su perspectiva. Sin embargo, algunas de dichas agencias han reiterado en comunicaciones recientes ciertos retos que aún enfrenta </w:t>
      </w:r>
      <w:r w:rsidRPr="009F6E4B">
        <w:rPr>
          <w:rFonts w:cs="Arial"/>
          <w:sz w:val="20"/>
          <w:szCs w:val="20"/>
        </w:rPr>
        <w:lastRenderedPageBreak/>
        <w:t>la economía mexicana, destacando entre estos los relacionados con la política comercial de Estados Unidos.</w:t>
      </w:r>
      <w:r w:rsidR="009F6E4B">
        <w:rPr>
          <w:rFonts w:cs="Arial"/>
          <w:sz w:val="20"/>
          <w:szCs w:val="20"/>
        </w:rPr>
        <w:t xml:space="preserve"> </w:t>
      </w:r>
      <w:hyperlink r:id="rId12" w:history="1">
        <w:r w:rsidRPr="009F6E4B">
          <w:rPr>
            <w:rStyle w:val="Hipervnculo"/>
            <w:rFonts w:cs="Calibri"/>
            <w:sz w:val="18"/>
            <w:szCs w:val="18"/>
            <w:shd w:val="clear" w:color="auto" w:fill="FFFFFF"/>
          </w:rPr>
          <w:t>https://www.gob.mx/shcp/prensa/el-consejo-de-estabilidad-del-sistema-financiero-actualiza-su-balance-de-riesgos-401714</w:t>
        </w:r>
      </w:hyperlink>
    </w:p>
    <w:p w14:paraId="323C0A7B" w14:textId="77777777" w:rsidR="00177339" w:rsidRPr="009F6E4B" w:rsidRDefault="00177339" w:rsidP="00177339">
      <w:pPr>
        <w:rPr>
          <w:b/>
          <w:bCs/>
          <w:sz w:val="20"/>
          <w:szCs w:val="20"/>
        </w:rPr>
      </w:pPr>
      <w:r w:rsidRPr="009F6E4B">
        <w:rPr>
          <w:b/>
          <w:bCs/>
          <w:sz w:val="20"/>
          <w:szCs w:val="20"/>
        </w:rPr>
        <w:t>Actividad económica estatal</w:t>
      </w:r>
    </w:p>
    <w:p w14:paraId="58039F36" w14:textId="77777777" w:rsidR="00177339" w:rsidRPr="009F6E4B" w:rsidRDefault="00177339" w:rsidP="00FA4166">
      <w:pPr>
        <w:shd w:val="clear" w:color="auto" w:fill="FFFFFF"/>
        <w:spacing w:before="180" w:after="180" w:line="240" w:lineRule="auto"/>
        <w:jc w:val="both"/>
        <w:rPr>
          <w:rFonts w:cs="Arial"/>
          <w:sz w:val="20"/>
          <w:szCs w:val="20"/>
        </w:rPr>
      </w:pPr>
      <w:r w:rsidRPr="009F6E4B">
        <w:rPr>
          <w:rFonts w:cs="Arial"/>
          <w:sz w:val="20"/>
          <w:szCs w:val="20"/>
        </w:rPr>
        <w:t>El Estado de Guanajuato logró un avance sin precedentes en el Índice de Competitividad Estatal (ICE) 2025 elaborado por el Instituto Mexicano para la Competitividad (IMCO), al escalar 9 posiciones en el ranking nacional, pasando del lugar 22 al 13, siendo el estado con el mayor progreso en todo el país.</w:t>
      </w:r>
    </w:p>
    <w:p w14:paraId="1DFFCE29" w14:textId="77777777" w:rsidR="00177339" w:rsidRPr="009F6E4B" w:rsidRDefault="00177339" w:rsidP="00FA4166">
      <w:pPr>
        <w:shd w:val="clear" w:color="auto" w:fill="FFFFFF"/>
        <w:spacing w:before="180" w:after="180" w:line="240" w:lineRule="auto"/>
        <w:jc w:val="both"/>
        <w:rPr>
          <w:rFonts w:cs="Arial"/>
          <w:sz w:val="20"/>
          <w:szCs w:val="20"/>
        </w:rPr>
      </w:pPr>
      <w:r w:rsidRPr="009F6E4B">
        <w:rPr>
          <w:rFonts w:cs="Arial"/>
          <w:sz w:val="20"/>
          <w:szCs w:val="20"/>
        </w:rPr>
        <w:t>Este resultado refleja el impacto positivo de una política pública con visión de largo plazo, enfocada en el impulso a la economía, la innovación, la atracción de inversiones y el fortalecimiento institucional.</w:t>
      </w:r>
    </w:p>
    <w:p w14:paraId="02C7300D" w14:textId="77777777" w:rsidR="00177339" w:rsidRPr="009F6E4B" w:rsidRDefault="00177339" w:rsidP="00FA4166">
      <w:pPr>
        <w:shd w:val="clear" w:color="auto" w:fill="FFFFFF"/>
        <w:spacing w:before="180" w:after="180" w:line="240" w:lineRule="auto"/>
        <w:jc w:val="both"/>
        <w:rPr>
          <w:rFonts w:cs="Arial"/>
          <w:sz w:val="20"/>
          <w:szCs w:val="20"/>
        </w:rPr>
      </w:pPr>
      <w:r w:rsidRPr="009F6E4B">
        <w:rPr>
          <w:rFonts w:cs="Arial"/>
          <w:sz w:val="20"/>
          <w:szCs w:val="20"/>
        </w:rPr>
        <w:t>El informe del IMCO resalta que Guanajuato se posicionó entre los cinco primeros lugares del país en el subíndice de Economía, gracias a su alta tasa de exportaciones (53% del PIB), atracción de inversión extranjera y crecimiento industrial.</w:t>
      </w:r>
    </w:p>
    <w:p w14:paraId="2E8B105B" w14:textId="77777777" w:rsidR="00177339" w:rsidRPr="009F6E4B" w:rsidRDefault="00177339" w:rsidP="00FA4166">
      <w:pPr>
        <w:shd w:val="clear" w:color="auto" w:fill="FFFFFF"/>
        <w:spacing w:before="180" w:after="180" w:line="240" w:lineRule="auto"/>
        <w:jc w:val="both"/>
        <w:rPr>
          <w:rFonts w:cs="Arial"/>
          <w:sz w:val="20"/>
          <w:szCs w:val="20"/>
        </w:rPr>
      </w:pPr>
      <w:r w:rsidRPr="009F6E4B">
        <w:rPr>
          <w:rFonts w:cs="Arial"/>
          <w:sz w:val="20"/>
          <w:szCs w:val="20"/>
        </w:rPr>
        <w:t>Además, en el subíndice de Innovación, el estado se ubicó como 4° lugar nacional en generación de patentes y 7° en gasto en investigación y desarrollo, consolidándose como un polo tecnológico en el Bajío.</w:t>
      </w:r>
    </w:p>
    <w:p w14:paraId="27FF3E4A" w14:textId="77777777" w:rsidR="00177339" w:rsidRPr="009F6E4B" w:rsidRDefault="00177339" w:rsidP="00FA4166">
      <w:pPr>
        <w:shd w:val="clear" w:color="auto" w:fill="FFFFFF"/>
        <w:spacing w:before="180" w:after="180" w:line="240" w:lineRule="auto"/>
        <w:jc w:val="both"/>
        <w:rPr>
          <w:rFonts w:cs="Arial"/>
          <w:sz w:val="20"/>
          <w:szCs w:val="20"/>
        </w:rPr>
      </w:pPr>
      <w:r w:rsidRPr="009F6E4B">
        <w:rPr>
          <w:rFonts w:cs="Arial"/>
          <w:sz w:val="20"/>
          <w:szCs w:val="20"/>
        </w:rPr>
        <w:t>El salto en competitividad de Guanajuato responde a una política pública seria, confiable y bien evaluada. La confianza de las empresas, la estabilidad económica y el trabajo coordinado con la sociedad han sido factores clave para que el estado destaque como una de las entidades con mayor potencial de desarrollo.</w:t>
      </w:r>
    </w:p>
    <w:p w14:paraId="06057574" w14:textId="77777777" w:rsidR="00177339" w:rsidRPr="009F6E4B" w:rsidRDefault="00177339" w:rsidP="00FA4166">
      <w:pPr>
        <w:shd w:val="clear" w:color="auto" w:fill="FFFFFF"/>
        <w:spacing w:before="180" w:after="180" w:line="240" w:lineRule="auto"/>
        <w:jc w:val="both"/>
        <w:rPr>
          <w:rFonts w:cs="Arial"/>
          <w:sz w:val="20"/>
          <w:szCs w:val="20"/>
        </w:rPr>
      </w:pPr>
      <w:r w:rsidRPr="009F6E4B">
        <w:rPr>
          <w:rFonts w:cs="Arial"/>
          <w:sz w:val="20"/>
          <w:szCs w:val="20"/>
        </w:rPr>
        <w:t>El ICE 2025 también señala áreas de oportunidad en materia de infraestructura, mercado laboral y seguridad, en las cuales el Gobierno del Estado ya trabaja con estrategias puntuales.</w:t>
      </w:r>
    </w:p>
    <w:p w14:paraId="75D8444C" w14:textId="7B9684B0" w:rsidR="00B07431" w:rsidRPr="009F6E4B" w:rsidRDefault="00412EEB" w:rsidP="009F6E4B">
      <w:pPr>
        <w:jc w:val="both"/>
        <w:rPr>
          <w:rFonts w:cs="Calibri"/>
          <w:color w:val="0000FF"/>
          <w:sz w:val="18"/>
          <w:szCs w:val="18"/>
          <w:u w:val="single"/>
        </w:rPr>
      </w:pPr>
      <w:r w:rsidRPr="009F6E4B">
        <w:rPr>
          <w:rStyle w:val="Hipervnculo"/>
          <w:rFonts w:cs="Calibri"/>
          <w:sz w:val="18"/>
          <w:szCs w:val="18"/>
        </w:rPr>
        <w:t>https://boletines.guanajuato.gob.mx/2025/06/10/guanajuato-da-un-salto-historico-en-competitividad-sube-9-lugares-en-el-indice-del-imco/</w:t>
      </w:r>
    </w:p>
    <w:p w14:paraId="08136E94" w14:textId="40BF43B8" w:rsidR="007D1E76" w:rsidRPr="009F6E4B" w:rsidRDefault="009736CB" w:rsidP="000C3365">
      <w:pPr>
        <w:pStyle w:val="Ttulo2"/>
        <w:rPr>
          <w:rFonts w:asciiTheme="minorHAnsi" w:hAnsiTheme="minorHAnsi" w:cstheme="minorHAnsi"/>
          <w:b/>
          <w:color w:val="auto"/>
          <w:sz w:val="20"/>
          <w:szCs w:val="20"/>
        </w:rPr>
      </w:pPr>
      <w:bookmarkStart w:id="4" w:name="_Toc203572758"/>
      <w:r w:rsidRPr="009F6E4B">
        <w:rPr>
          <w:rFonts w:asciiTheme="minorHAnsi" w:hAnsiTheme="minorHAnsi" w:cstheme="minorHAnsi"/>
          <w:b/>
          <w:color w:val="auto"/>
          <w:sz w:val="20"/>
          <w:szCs w:val="20"/>
        </w:rPr>
        <w:t>3</w:t>
      </w:r>
      <w:r w:rsidR="007D1E76" w:rsidRPr="009F6E4B">
        <w:rPr>
          <w:rFonts w:asciiTheme="minorHAnsi" w:hAnsiTheme="minorHAnsi" w:cstheme="minorHAnsi"/>
          <w:b/>
          <w:color w:val="auto"/>
          <w:sz w:val="20"/>
          <w:szCs w:val="20"/>
        </w:rPr>
        <w:t xml:space="preserve">. </w:t>
      </w:r>
      <w:r w:rsidR="00E00323" w:rsidRPr="009F6E4B">
        <w:rPr>
          <w:rFonts w:asciiTheme="minorHAnsi" w:hAnsiTheme="minorHAnsi" w:cstheme="minorHAnsi"/>
          <w:b/>
          <w:color w:val="auto"/>
          <w:sz w:val="20"/>
          <w:szCs w:val="20"/>
        </w:rPr>
        <w:t>Organización y Objeto Social:</w:t>
      </w:r>
      <w:bookmarkEnd w:id="4"/>
    </w:p>
    <w:p w14:paraId="6C85E52D" w14:textId="77777777" w:rsidR="007D1E76" w:rsidRPr="009F6E4B" w:rsidRDefault="007D1E76" w:rsidP="00CB41C4">
      <w:pPr>
        <w:tabs>
          <w:tab w:val="left" w:leader="underscore" w:pos="9639"/>
        </w:tabs>
        <w:spacing w:after="0" w:line="240" w:lineRule="auto"/>
        <w:jc w:val="both"/>
        <w:rPr>
          <w:rFonts w:cs="Calibri"/>
          <w:sz w:val="20"/>
          <w:szCs w:val="20"/>
        </w:rPr>
      </w:pPr>
    </w:p>
    <w:p w14:paraId="67B5DF23" w14:textId="7777777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sz w:val="20"/>
          <w:szCs w:val="20"/>
        </w:rPr>
        <w:t>Se informará sobre:</w:t>
      </w:r>
    </w:p>
    <w:p w14:paraId="473E4237" w14:textId="77777777" w:rsidR="007D1E76" w:rsidRPr="009F6E4B" w:rsidRDefault="007D1E76" w:rsidP="00CB41C4">
      <w:pPr>
        <w:tabs>
          <w:tab w:val="left" w:leader="underscore" w:pos="9639"/>
        </w:tabs>
        <w:spacing w:after="0" w:line="240" w:lineRule="auto"/>
        <w:jc w:val="both"/>
        <w:rPr>
          <w:rFonts w:cs="Calibri"/>
          <w:sz w:val="20"/>
          <w:szCs w:val="20"/>
        </w:rPr>
      </w:pPr>
    </w:p>
    <w:p w14:paraId="3A7F2587" w14:textId="7777777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b/>
          <w:sz w:val="20"/>
          <w:szCs w:val="20"/>
        </w:rPr>
        <w:t>a)</w:t>
      </w:r>
      <w:r w:rsidRPr="009F6E4B">
        <w:rPr>
          <w:rFonts w:cs="Calibri"/>
          <w:sz w:val="20"/>
          <w:szCs w:val="20"/>
        </w:rPr>
        <w:t xml:space="preserve"> Objeto social.</w:t>
      </w:r>
    </w:p>
    <w:p w14:paraId="551BD62F" w14:textId="77777777" w:rsidR="00BA34B4" w:rsidRPr="009F6E4B" w:rsidRDefault="00BA34B4" w:rsidP="00BA34B4">
      <w:pPr>
        <w:tabs>
          <w:tab w:val="left" w:leader="underscore" w:pos="9923"/>
        </w:tabs>
        <w:spacing w:after="0"/>
        <w:jc w:val="both"/>
        <w:rPr>
          <w:rFonts w:cs="Arial"/>
          <w:b/>
          <w:bCs/>
          <w:sz w:val="20"/>
          <w:szCs w:val="20"/>
        </w:rPr>
      </w:pPr>
    </w:p>
    <w:p w14:paraId="7D54088C" w14:textId="77777777" w:rsidR="00B07431" w:rsidRPr="009F6E4B" w:rsidRDefault="00B07431" w:rsidP="005B478F">
      <w:pPr>
        <w:tabs>
          <w:tab w:val="left" w:leader="underscore" w:pos="9923"/>
        </w:tabs>
        <w:spacing w:after="0"/>
        <w:jc w:val="both"/>
        <w:rPr>
          <w:rFonts w:cs="Arial"/>
          <w:b/>
          <w:bCs/>
          <w:sz w:val="20"/>
          <w:szCs w:val="20"/>
        </w:rPr>
      </w:pPr>
      <w:bookmarkStart w:id="5" w:name="_Toc188864625"/>
    </w:p>
    <w:p w14:paraId="26DBB0D6" w14:textId="3A80E98A" w:rsidR="00BA34B4" w:rsidRPr="009F6E4B" w:rsidRDefault="00BA34B4" w:rsidP="005B478F">
      <w:pPr>
        <w:tabs>
          <w:tab w:val="left" w:leader="underscore" w:pos="9923"/>
        </w:tabs>
        <w:spacing w:after="0"/>
        <w:jc w:val="both"/>
        <w:rPr>
          <w:rFonts w:cs="Arial"/>
          <w:b/>
          <w:bCs/>
          <w:sz w:val="20"/>
          <w:szCs w:val="20"/>
        </w:rPr>
      </w:pPr>
      <w:r w:rsidRPr="009F6E4B">
        <w:rPr>
          <w:rFonts w:cs="Arial"/>
          <w:b/>
          <w:bCs/>
          <w:sz w:val="20"/>
          <w:szCs w:val="20"/>
        </w:rPr>
        <w:t>Misión</w:t>
      </w:r>
      <w:r w:rsidR="00504B51" w:rsidRPr="009F6E4B">
        <w:rPr>
          <w:rFonts w:cs="Arial"/>
          <w:b/>
          <w:bCs/>
          <w:sz w:val="20"/>
          <w:szCs w:val="20"/>
        </w:rPr>
        <w:t xml:space="preserve"> </w:t>
      </w:r>
      <w:bookmarkEnd w:id="5"/>
    </w:p>
    <w:p w14:paraId="5A0119DC" w14:textId="77777777" w:rsidR="00D5630A" w:rsidRPr="009F6E4B" w:rsidRDefault="00D5630A" w:rsidP="00BA34B4">
      <w:pPr>
        <w:spacing w:after="0"/>
        <w:jc w:val="both"/>
        <w:rPr>
          <w:rFonts w:cs="Arial"/>
          <w:sz w:val="20"/>
          <w:szCs w:val="20"/>
        </w:rPr>
      </w:pPr>
    </w:p>
    <w:p w14:paraId="16DAD2C2" w14:textId="77777777" w:rsidR="00BA34B4" w:rsidRPr="009F6E4B" w:rsidRDefault="00BA34B4" w:rsidP="00BA34B4">
      <w:pPr>
        <w:spacing w:after="0"/>
        <w:jc w:val="both"/>
        <w:rPr>
          <w:rFonts w:cs="Arial"/>
          <w:sz w:val="20"/>
          <w:szCs w:val="20"/>
        </w:rPr>
      </w:pPr>
      <w:r w:rsidRPr="009F6E4B">
        <w:rPr>
          <w:rFonts w:cs="Arial"/>
          <w:sz w:val="20"/>
          <w:szCs w:val="20"/>
        </w:rPr>
        <w:t xml:space="preserve">Somos el gobierno de la Capital del Estado y Ciudad Patrimonio Cultural de la Humanidad por la UNESCO, así como la Capital Cervantina de América, Ciudad en continuo crecimiento, con una zona urbana que va más allá del Centro Histórico, de los edificios históricos, túneles, tradicionales callejones, además de localidades y comunidades que se han integrado al desarrollo del municipio, a través de la participación de sus habitantes. </w:t>
      </w:r>
    </w:p>
    <w:p w14:paraId="63D40D2E" w14:textId="77777777" w:rsidR="00BA34B4" w:rsidRPr="009F6E4B" w:rsidRDefault="00BA34B4" w:rsidP="00BA34B4">
      <w:pPr>
        <w:spacing w:after="0"/>
        <w:jc w:val="both"/>
        <w:rPr>
          <w:rFonts w:cs="Arial"/>
          <w:sz w:val="20"/>
          <w:szCs w:val="20"/>
        </w:rPr>
      </w:pPr>
    </w:p>
    <w:p w14:paraId="590A7A19" w14:textId="77777777" w:rsidR="00BA34B4" w:rsidRPr="009F6E4B" w:rsidRDefault="00BA34B4" w:rsidP="00BA34B4">
      <w:pPr>
        <w:spacing w:after="0"/>
        <w:jc w:val="both"/>
        <w:rPr>
          <w:rFonts w:cs="Arial"/>
          <w:sz w:val="20"/>
          <w:szCs w:val="20"/>
        </w:rPr>
      </w:pPr>
      <w:r w:rsidRPr="009F6E4B">
        <w:rPr>
          <w:rFonts w:cs="Arial"/>
          <w:sz w:val="20"/>
          <w:szCs w:val="20"/>
        </w:rPr>
        <w:t xml:space="preserve">Nuestro quehacer va más allá de la tradicional prestación de servicios públicos, en la administración municipal trabajan día a día funcionarias y funcionarios con capacidades, aptitudes y actitudes para la gestión de resultados positivos que impactan en la calidad de vida de los 194 500 habitantes del municipio. </w:t>
      </w:r>
    </w:p>
    <w:p w14:paraId="01FAE980" w14:textId="77777777" w:rsidR="00BA34B4" w:rsidRPr="009F6E4B" w:rsidRDefault="00BA34B4" w:rsidP="00BA34B4">
      <w:pPr>
        <w:spacing w:after="0"/>
        <w:jc w:val="both"/>
        <w:rPr>
          <w:rFonts w:cs="Arial"/>
          <w:sz w:val="20"/>
          <w:szCs w:val="20"/>
        </w:rPr>
      </w:pPr>
    </w:p>
    <w:p w14:paraId="2BB589A8" w14:textId="72C6F12E" w:rsidR="00BA34B4" w:rsidRPr="009F6E4B" w:rsidRDefault="00E16610" w:rsidP="00BA34B4">
      <w:pPr>
        <w:spacing w:after="0"/>
        <w:jc w:val="both"/>
        <w:rPr>
          <w:rFonts w:cs="Arial"/>
          <w:sz w:val="20"/>
          <w:szCs w:val="20"/>
        </w:rPr>
      </w:pPr>
      <w:r w:rsidRPr="009F6E4B">
        <w:rPr>
          <w:rFonts w:cs="Arial"/>
          <w:sz w:val="20"/>
          <w:szCs w:val="20"/>
        </w:rPr>
        <w:t>E</w:t>
      </w:r>
      <w:r w:rsidR="00BA34B4" w:rsidRPr="009F6E4B">
        <w:rPr>
          <w:rFonts w:cs="Arial"/>
          <w:sz w:val="20"/>
          <w:szCs w:val="20"/>
        </w:rPr>
        <w:t xml:space="preserve">l gran reto de Guanajuato Capital es, por un lado, preservar la grandeza de nuestro Centro Histórico, difundiendo nuestro patrimonio para que cada vez más personas nos visiten; y, por otro lado, construir una zona sur y rural ordenada, con seguridad, buenos servicios, con movilidad, y atractiva para la atracción de inversiones. </w:t>
      </w:r>
    </w:p>
    <w:p w14:paraId="6E6EC6B3" w14:textId="77777777" w:rsidR="00BA34B4" w:rsidRPr="009F6E4B" w:rsidRDefault="00BA34B4" w:rsidP="00BA34B4">
      <w:pPr>
        <w:spacing w:after="0"/>
        <w:jc w:val="both"/>
        <w:rPr>
          <w:rFonts w:cs="Arial"/>
          <w:sz w:val="20"/>
          <w:szCs w:val="20"/>
        </w:rPr>
      </w:pPr>
    </w:p>
    <w:p w14:paraId="2AC9A49C" w14:textId="7E8C2028" w:rsidR="00BA34B4" w:rsidRPr="009F6E4B" w:rsidRDefault="00BA34B4" w:rsidP="00BA34B4">
      <w:pPr>
        <w:spacing w:after="0"/>
        <w:jc w:val="both"/>
        <w:rPr>
          <w:rFonts w:cs="Arial"/>
          <w:sz w:val="20"/>
          <w:szCs w:val="20"/>
        </w:rPr>
      </w:pPr>
      <w:r w:rsidRPr="009F6E4B">
        <w:rPr>
          <w:rFonts w:cs="Arial"/>
          <w:sz w:val="20"/>
          <w:szCs w:val="20"/>
        </w:rPr>
        <w:t>Por lo anterior, nuestra Misión es continuar trabajando por una capital segura, próspera, ordenada, de bienestar y con un buen gobierno, innovador y transparente. Por supuesto, adaptándonos a la coyuntura que vive nuestra ciudad, México, y todo el mundo.</w:t>
      </w:r>
    </w:p>
    <w:p w14:paraId="6594647E" w14:textId="77777777" w:rsidR="00504B51" w:rsidRPr="009F6E4B" w:rsidRDefault="00504B51" w:rsidP="00BA34B4">
      <w:pPr>
        <w:tabs>
          <w:tab w:val="left" w:leader="underscore" w:pos="9923"/>
        </w:tabs>
        <w:spacing w:after="0"/>
        <w:jc w:val="both"/>
        <w:rPr>
          <w:rFonts w:cs="Arial"/>
          <w:b/>
          <w:bCs/>
          <w:sz w:val="20"/>
          <w:szCs w:val="20"/>
        </w:rPr>
      </w:pPr>
    </w:p>
    <w:p w14:paraId="7A2917FC" w14:textId="70D5F626" w:rsidR="00EC077C" w:rsidRPr="009F6E4B" w:rsidRDefault="00EC077C" w:rsidP="00EC077C">
      <w:pPr>
        <w:tabs>
          <w:tab w:val="left" w:leader="underscore" w:pos="9923"/>
        </w:tabs>
        <w:spacing w:after="0"/>
        <w:jc w:val="both"/>
        <w:rPr>
          <w:rFonts w:cs="Arial"/>
          <w:b/>
          <w:bCs/>
          <w:sz w:val="20"/>
          <w:szCs w:val="20"/>
        </w:rPr>
      </w:pPr>
      <w:r w:rsidRPr="009F6E4B">
        <w:rPr>
          <w:rFonts w:cs="Arial"/>
          <w:b/>
          <w:bCs/>
          <w:sz w:val="20"/>
          <w:szCs w:val="20"/>
        </w:rPr>
        <w:t>Vis</w:t>
      </w:r>
      <w:r w:rsidR="005B478F" w:rsidRPr="009F6E4B">
        <w:rPr>
          <w:rFonts w:cs="Arial"/>
          <w:b/>
          <w:bCs/>
          <w:sz w:val="20"/>
          <w:szCs w:val="20"/>
        </w:rPr>
        <w:t>ión</w:t>
      </w:r>
    </w:p>
    <w:p w14:paraId="0A29A199" w14:textId="77777777" w:rsidR="00EC077C" w:rsidRPr="009F6E4B" w:rsidRDefault="00EC077C" w:rsidP="00BA34B4">
      <w:pPr>
        <w:tabs>
          <w:tab w:val="left" w:leader="underscore" w:pos="9923"/>
        </w:tabs>
        <w:spacing w:after="0"/>
        <w:jc w:val="both"/>
        <w:rPr>
          <w:rFonts w:cs="Arial"/>
          <w:b/>
          <w:bCs/>
          <w:sz w:val="20"/>
          <w:szCs w:val="20"/>
        </w:rPr>
      </w:pPr>
    </w:p>
    <w:p w14:paraId="4AF43361" w14:textId="77777777" w:rsidR="00EC077C" w:rsidRPr="009F6E4B" w:rsidRDefault="00EC077C" w:rsidP="00EC077C">
      <w:pPr>
        <w:jc w:val="both"/>
        <w:rPr>
          <w:sz w:val="20"/>
          <w:szCs w:val="20"/>
        </w:rPr>
      </w:pPr>
      <w:r w:rsidRPr="009F6E4B">
        <w:rPr>
          <w:sz w:val="20"/>
          <w:szCs w:val="20"/>
        </w:rPr>
        <w:t>Un Guanajuato en el que sus habitantes se sienten orgullosos de vivir en un municipio seguro, limpio y ordenado.</w:t>
      </w:r>
    </w:p>
    <w:p w14:paraId="1563E4D6" w14:textId="77777777" w:rsidR="00EC077C" w:rsidRPr="009F6E4B" w:rsidRDefault="00EC077C" w:rsidP="00EC077C">
      <w:pPr>
        <w:jc w:val="both"/>
        <w:rPr>
          <w:sz w:val="20"/>
          <w:szCs w:val="20"/>
        </w:rPr>
      </w:pPr>
      <w:r w:rsidRPr="009F6E4B">
        <w:rPr>
          <w:sz w:val="20"/>
          <w:szCs w:val="20"/>
        </w:rPr>
        <w:t>Conscientes de la responsabilidad de tener una ciudad turística, minera, universitaria y patrimonio cultural de la humanidad.</w:t>
      </w:r>
    </w:p>
    <w:p w14:paraId="344E9BFE" w14:textId="77777777" w:rsidR="00EC077C" w:rsidRPr="009F6E4B" w:rsidRDefault="00EC077C" w:rsidP="00EC077C">
      <w:pPr>
        <w:jc w:val="both"/>
        <w:rPr>
          <w:sz w:val="20"/>
          <w:szCs w:val="20"/>
        </w:rPr>
      </w:pPr>
      <w:r w:rsidRPr="009F6E4B">
        <w:rPr>
          <w:sz w:val="20"/>
          <w:szCs w:val="20"/>
        </w:rPr>
        <w:t>Comprometidos con el respeto a sus semejantes, a los espacios públicos, al medio ambiente y a la autoridad.</w:t>
      </w:r>
    </w:p>
    <w:p w14:paraId="46C3263B" w14:textId="77777777" w:rsidR="00EC077C" w:rsidRPr="009F6E4B" w:rsidRDefault="00EC077C" w:rsidP="00EC077C">
      <w:pPr>
        <w:jc w:val="both"/>
        <w:rPr>
          <w:sz w:val="20"/>
          <w:szCs w:val="20"/>
        </w:rPr>
      </w:pPr>
      <w:r w:rsidRPr="009F6E4B">
        <w:rPr>
          <w:sz w:val="20"/>
          <w:szCs w:val="20"/>
        </w:rPr>
        <w:t>Participando en una gran alianza con su gobierno municipal para generar oportunidades de desarrollo en un marco de confianza, credibilidad y apertura.</w:t>
      </w:r>
    </w:p>
    <w:p w14:paraId="479E7FCC" w14:textId="77777777" w:rsidR="00EC077C" w:rsidRPr="009F6E4B" w:rsidRDefault="00EC077C" w:rsidP="00EC077C">
      <w:pPr>
        <w:jc w:val="both"/>
        <w:rPr>
          <w:sz w:val="20"/>
          <w:szCs w:val="20"/>
        </w:rPr>
      </w:pPr>
      <w:r w:rsidRPr="009F6E4B">
        <w:rPr>
          <w:sz w:val="20"/>
          <w:szCs w:val="20"/>
        </w:rPr>
        <w:t>En convivencia con servidores públicos capaces, fuertes y honestos que trabajan en equipo para resolver los desafíos que vienen con el crecimiento y la prosperidad.</w:t>
      </w:r>
    </w:p>
    <w:p w14:paraId="547E962F" w14:textId="7B1D3C2B" w:rsidR="005B478F" w:rsidRPr="009F6E4B" w:rsidRDefault="005B478F" w:rsidP="005B478F">
      <w:pPr>
        <w:tabs>
          <w:tab w:val="left" w:leader="underscore" w:pos="9923"/>
        </w:tabs>
        <w:spacing w:after="0"/>
        <w:jc w:val="both"/>
        <w:rPr>
          <w:rFonts w:cs="Arial"/>
          <w:b/>
          <w:bCs/>
          <w:sz w:val="20"/>
          <w:szCs w:val="20"/>
        </w:rPr>
      </w:pPr>
      <w:r w:rsidRPr="009F6E4B">
        <w:rPr>
          <w:rFonts w:cs="Arial"/>
          <w:b/>
          <w:bCs/>
          <w:sz w:val="20"/>
          <w:szCs w:val="20"/>
        </w:rPr>
        <w:t>Valores</w:t>
      </w:r>
    </w:p>
    <w:p w14:paraId="17546A09" w14:textId="77777777" w:rsidR="005B478F" w:rsidRPr="009F6E4B" w:rsidRDefault="005B478F" w:rsidP="005B478F">
      <w:pPr>
        <w:tabs>
          <w:tab w:val="left" w:leader="underscore" w:pos="9639"/>
        </w:tabs>
        <w:spacing w:after="0" w:line="240" w:lineRule="auto"/>
        <w:jc w:val="both"/>
        <w:rPr>
          <w:rFonts w:cs="Calibri"/>
          <w:sz w:val="20"/>
          <w:szCs w:val="20"/>
        </w:rPr>
      </w:pPr>
    </w:p>
    <w:p w14:paraId="1C749065" w14:textId="42E7AF5E" w:rsidR="005B478F" w:rsidRPr="009F6E4B" w:rsidRDefault="005B478F" w:rsidP="005B478F">
      <w:pPr>
        <w:spacing w:after="160" w:line="259" w:lineRule="auto"/>
        <w:jc w:val="both"/>
        <w:rPr>
          <w:sz w:val="20"/>
          <w:szCs w:val="20"/>
        </w:rPr>
      </w:pPr>
      <w:r w:rsidRPr="009F6E4B">
        <w:rPr>
          <w:b/>
          <w:bCs/>
          <w:sz w:val="20"/>
          <w:szCs w:val="20"/>
        </w:rPr>
        <w:t xml:space="preserve">Fortaleza. - </w:t>
      </w:r>
      <w:r w:rsidRPr="009F6E4B">
        <w:rPr>
          <w:sz w:val="20"/>
          <w:szCs w:val="20"/>
        </w:rPr>
        <w:t>Enfrentar desafíos con resiliencia y determinación para mantener la estabilidad</w:t>
      </w:r>
      <w:r w:rsidRPr="009F6E4B">
        <w:rPr>
          <w:b/>
          <w:bCs/>
          <w:sz w:val="20"/>
          <w:szCs w:val="20"/>
        </w:rPr>
        <w:t>.</w:t>
      </w:r>
    </w:p>
    <w:p w14:paraId="3ED44437" w14:textId="77777777" w:rsidR="005B478F" w:rsidRPr="009F6E4B" w:rsidRDefault="005B478F" w:rsidP="005B478F">
      <w:pPr>
        <w:jc w:val="both"/>
        <w:rPr>
          <w:sz w:val="20"/>
          <w:szCs w:val="20"/>
        </w:rPr>
      </w:pPr>
      <w:r w:rsidRPr="009F6E4B">
        <w:rPr>
          <w:b/>
          <w:bCs/>
          <w:sz w:val="20"/>
          <w:szCs w:val="20"/>
        </w:rPr>
        <w:t>Resiliencia. -</w:t>
      </w:r>
      <w:r w:rsidRPr="009F6E4B">
        <w:rPr>
          <w:sz w:val="20"/>
          <w:szCs w:val="20"/>
        </w:rPr>
        <w:t>-Buscaremos reinventarnos ante cualquier circunstancia, aprendiendo de la experiencia y creando una mejor versión de nosotros y nuestro equipo cada día.</w:t>
      </w:r>
    </w:p>
    <w:p w14:paraId="1934CE37" w14:textId="77777777" w:rsidR="005B478F" w:rsidRPr="009F6E4B" w:rsidRDefault="005B478F" w:rsidP="005B478F">
      <w:pPr>
        <w:jc w:val="both"/>
        <w:rPr>
          <w:sz w:val="20"/>
          <w:szCs w:val="20"/>
        </w:rPr>
      </w:pPr>
      <w:r w:rsidRPr="009F6E4B">
        <w:rPr>
          <w:b/>
          <w:bCs/>
          <w:sz w:val="20"/>
          <w:szCs w:val="20"/>
        </w:rPr>
        <w:t xml:space="preserve">Honestidad. </w:t>
      </w:r>
      <w:r w:rsidRPr="009F6E4B">
        <w:rPr>
          <w:sz w:val="20"/>
          <w:szCs w:val="20"/>
        </w:rPr>
        <w:t>- Actuar con integridad y ética, colocando siempre los intereses de los ciudadanos por encima de cualquier beneficio personal.</w:t>
      </w:r>
    </w:p>
    <w:p w14:paraId="0BB9DF84" w14:textId="19D7C24A" w:rsidR="005B478F" w:rsidRPr="009F6E4B" w:rsidRDefault="005B478F" w:rsidP="005B478F">
      <w:pPr>
        <w:jc w:val="both"/>
        <w:rPr>
          <w:sz w:val="20"/>
          <w:szCs w:val="20"/>
        </w:rPr>
      </w:pPr>
      <w:r w:rsidRPr="009F6E4B">
        <w:rPr>
          <w:sz w:val="20"/>
          <w:szCs w:val="20"/>
        </w:rPr>
        <w:lastRenderedPageBreak/>
        <w:t xml:space="preserve">La transparencia garantiza que todas las operaciones y decisiones sean accesibles comprensibles para la ciudadanía, fomentando confianza pública. </w:t>
      </w:r>
    </w:p>
    <w:p w14:paraId="74C08039" w14:textId="77777777" w:rsidR="005B478F" w:rsidRPr="009F6E4B" w:rsidRDefault="005B478F" w:rsidP="005B478F">
      <w:pPr>
        <w:jc w:val="both"/>
        <w:rPr>
          <w:sz w:val="20"/>
          <w:szCs w:val="20"/>
        </w:rPr>
      </w:pPr>
      <w:r w:rsidRPr="009F6E4B">
        <w:rPr>
          <w:b/>
          <w:bCs/>
          <w:sz w:val="20"/>
          <w:szCs w:val="20"/>
        </w:rPr>
        <w:t>Compromiso</w:t>
      </w:r>
      <w:r w:rsidRPr="009F6E4B">
        <w:rPr>
          <w:sz w:val="20"/>
          <w:szCs w:val="20"/>
        </w:rPr>
        <w:t>. - La dedicación constante para mejorar la calidad de vida de los guanajuatenses, cumpliendo las promesas y objetivos de gobierno:</w:t>
      </w:r>
    </w:p>
    <w:p w14:paraId="18041088" w14:textId="77777777" w:rsidR="005B478F" w:rsidRPr="009F6E4B" w:rsidRDefault="005B478F" w:rsidP="005B478F">
      <w:pPr>
        <w:pStyle w:val="Prrafodelista"/>
        <w:numPr>
          <w:ilvl w:val="0"/>
          <w:numId w:val="3"/>
        </w:numPr>
        <w:spacing w:after="160" w:line="259" w:lineRule="auto"/>
        <w:jc w:val="both"/>
        <w:rPr>
          <w:sz w:val="20"/>
          <w:szCs w:val="20"/>
        </w:rPr>
      </w:pPr>
      <w:r w:rsidRPr="009F6E4B">
        <w:rPr>
          <w:sz w:val="20"/>
          <w:szCs w:val="20"/>
        </w:rPr>
        <w:t>Resolución de problemas</w:t>
      </w:r>
    </w:p>
    <w:p w14:paraId="6EFAF4C4" w14:textId="77777777" w:rsidR="005B478F" w:rsidRPr="009F6E4B" w:rsidRDefault="005B478F" w:rsidP="005B478F">
      <w:pPr>
        <w:pStyle w:val="Prrafodelista"/>
        <w:numPr>
          <w:ilvl w:val="0"/>
          <w:numId w:val="3"/>
        </w:numPr>
        <w:spacing w:after="160" w:line="259" w:lineRule="auto"/>
        <w:jc w:val="both"/>
        <w:rPr>
          <w:sz w:val="20"/>
          <w:szCs w:val="20"/>
        </w:rPr>
      </w:pPr>
      <w:r w:rsidRPr="009F6E4B">
        <w:rPr>
          <w:sz w:val="20"/>
          <w:szCs w:val="20"/>
        </w:rPr>
        <w:t xml:space="preserve">Actitud proactiva </w:t>
      </w:r>
    </w:p>
    <w:p w14:paraId="2C8CE85C" w14:textId="77777777" w:rsidR="005B478F" w:rsidRPr="009F6E4B" w:rsidRDefault="005B478F" w:rsidP="005B478F">
      <w:pPr>
        <w:pStyle w:val="Prrafodelista"/>
        <w:numPr>
          <w:ilvl w:val="0"/>
          <w:numId w:val="3"/>
        </w:numPr>
        <w:spacing w:after="160" w:line="259" w:lineRule="auto"/>
        <w:jc w:val="both"/>
        <w:rPr>
          <w:sz w:val="20"/>
          <w:szCs w:val="20"/>
        </w:rPr>
      </w:pPr>
      <w:r w:rsidRPr="009F6E4B">
        <w:rPr>
          <w:sz w:val="20"/>
          <w:szCs w:val="20"/>
        </w:rPr>
        <w:t>Propositivo.</w:t>
      </w:r>
    </w:p>
    <w:p w14:paraId="34BACD4A" w14:textId="77777777" w:rsidR="005B478F" w:rsidRPr="009F6E4B" w:rsidRDefault="005B478F" w:rsidP="005B478F">
      <w:pPr>
        <w:jc w:val="both"/>
        <w:rPr>
          <w:bCs/>
          <w:sz w:val="20"/>
          <w:szCs w:val="20"/>
        </w:rPr>
      </w:pPr>
      <w:r w:rsidRPr="009F6E4B">
        <w:rPr>
          <w:b/>
          <w:bCs/>
          <w:sz w:val="20"/>
          <w:szCs w:val="20"/>
        </w:rPr>
        <w:t xml:space="preserve">ORDEN. - </w:t>
      </w:r>
      <w:r w:rsidRPr="009F6E4B">
        <w:rPr>
          <w:bCs/>
          <w:sz w:val="20"/>
          <w:szCs w:val="20"/>
        </w:rPr>
        <w:t xml:space="preserve">Eficiencia en la gestión de los recursos y servicios, asegurando una ciudad limpia, segura y funcional. </w:t>
      </w:r>
    </w:p>
    <w:p w14:paraId="7D626EBD" w14:textId="77777777" w:rsidR="005B478F" w:rsidRPr="009F6E4B" w:rsidRDefault="005B478F" w:rsidP="005B478F">
      <w:pPr>
        <w:jc w:val="both"/>
        <w:rPr>
          <w:sz w:val="20"/>
          <w:szCs w:val="20"/>
        </w:rPr>
      </w:pPr>
      <w:r w:rsidRPr="009F6E4B">
        <w:rPr>
          <w:sz w:val="20"/>
          <w:szCs w:val="20"/>
        </w:rPr>
        <w:t>Un gobierno con orden establece sistemas y procesos eficientes para gestionar recursos y servicios de manera efectiva.</w:t>
      </w:r>
    </w:p>
    <w:p w14:paraId="443F4737" w14:textId="77777777" w:rsidR="005B478F" w:rsidRPr="009F6E4B" w:rsidRDefault="005B478F" w:rsidP="005B478F">
      <w:pPr>
        <w:jc w:val="both"/>
        <w:rPr>
          <w:bCs/>
          <w:sz w:val="20"/>
          <w:szCs w:val="20"/>
        </w:rPr>
      </w:pPr>
      <w:r w:rsidRPr="009F6E4B">
        <w:rPr>
          <w:b/>
          <w:bCs/>
          <w:sz w:val="20"/>
          <w:szCs w:val="20"/>
        </w:rPr>
        <w:t xml:space="preserve">Trabajo en equipo. - </w:t>
      </w:r>
      <w:r w:rsidRPr="009F6E4B">
        <w:rPr>
          <w:bCs/>
          <w:sz w:val="20"/>
          <w:szCs w:val="20"/>
        </w:rPr>
        <w:t>Trabajar en conjunto con todos los sectores sociales fomentado la inclusión y el sentido de pertenencia.</w:t>
      </w:r>
    </w:p>
    <w:p w14:paraId="4A9BDAE0" w14:textId="77777777" w:rsidR="005B478F" w:rsidRPr="009F6E4B" w:rsidRDefault="005B478F" w:rsidP="005B478F">
      <w:pPr>
        <w:pStyle w:val="Prrafodelista"/>
        <w:numPr>
          <w:ilvl w:val="0"/>
          <w:numId w:val="4"/>
        </w:numPr>
        <w:spacing w:after="160" w:line="259" w:lineRule="auto"/>
        <w:jc w:val="both"/>
        <w:rPr>
          <w:sz w:val="20"/>
          <w:szCs w:val="20"/>
        </w:rPr>
      </w:pPr>
      <w:r w:rsidRPr="009F6E4B">
        <w:rPr>
          <w:sz w:val="20"/>
          <w:szCs w:val="20"/>
        </w:rPr>
        <w:t xml:space="preserve">Efectividad </w:t>
      </w:r>
    </w:p>
    <w:p w14:paraId="5828B1AB" w14:textId="77777777" w:rsidR="005B478F" w:rsidRPr="009F6E4B" w:rsidRDefault="005B478F" w:rsidP="005B478F">
      <w:pPr>
        <w:pStyle w:val="Prrafodelista"/>
        <w:numPr>
          <w:ilvl w:val="0"/>
          <w:numId w:val="4"/>
        </w:numPr>
        <w:spacing w:after="160" w:line="259" w:lineRule="auto"/>
        <w:jc w:val="both"/>
        <w:rPr>
          <w:sz w:val="20"/>
          <w:szCs w:val="20"/>
        </w:rPr>
      </w:pPr>
      <w:r w:rsidRPr="009F6E4B">
        <w:rPr>
          <w:sz w:val="20"/>
          <w:szCs w:val="20"/>
        </w:rPr>
        <w:t xml:space="preserve">Unidad </w:t>
      </w:r>
    </w:p>
    <w:p w14:paraId="2C34D559" w14:textId="77777777" w:rsidR="005B478F" w:rsidRPr="009F6E4B" w:rsidRDefault="005B478F" w:rsidP="005B478F">
      <w:pPr>
        <w:pStyle w:val="Prrafodelista"/>
        <w:numPr>
          <w:ilvl w:val="0"/>
          <w:numId w:val="4"/>
        </w:numPr>
        <w:spacing w:after="160" w:line="259" w:lineRule="auto"/>
        <w:jc w:val="both"/>
        <w:rPr>
          <w:sz w:val="20"/>
          <w:szCs w:val="20"/>
        </w:rPr>
      </w:pPr>
      <w:r w:rsidRPr="009F6E4B">
        <w:rPr>
          <w:sz w:val="20"/>
          <w:szCs w:val="20"/>
        </w:rPr>
        <w:t xml:space="preserve">Corresponsabilidad </w:t>
      </w:r>
    </w:p>
    <w:p w14:paraId="01E98436" w14:textId="77777777" w:rsidR="005B478F" w:rsidRPr="009F6E4B" w:rsidRDefault="005B478F" w:rsidP="005B478F">
      <w:pPr>
        <w:pStyle w:val="Prrafodelista"/>
        <w:numPr>
          <w:ilvl w:val="0"/>
          <w:numId w:val="4"/>
        </w:numPr>
        <w:spacing w:after="160" w:line="259" w:lineRule="auto"/>
        <w:jc w:val="both"/>
        <w:rPr>
          <w:sz w:val="20"/>
          <w:szCs w:val="20"/>
        </w:rPr>
      </w:pPr>
      <w:r w:rsidRPr="009F6E4B">
        <w:rPr>
          <w:sz w:val="20"/>
          <w:szCs w:val="20"/>
        </w:rPr>
        <w:t>Involucramiento activo</w:t>
      </w:r>
    </w:p>
    <w:p w14:paraId="7681CD07" w14:textId="77777777" w:rsidR="005B478F" w:rsidRPr="009F6E4B" w:rsidRDefault="005B478F" w:rsidP="005B478F">
      <w:pPr>
        <w:jc w:val="both"/>
        <w:rPr>
          <w:sz w:val="20"/>
          <w:szCs w:val="20"/>
        </w:rPr>
      </w:pPr>
      <w:r w:rsidRPr="009F6E4B">
        <w:rPr>
          <w:b/>
          <w:bCs/>
          <w:sz w:val="20"/>
          <w:szCs w:val="20"/>
        </w:rPr>
        <w:t xml:space="preserve">Creatividad e innovación. – </w:t>
      </w:r>
      <w:r w:rsidRPr="009F6E4B">
        <w:rPr>
          <w:sz w:val="20"/>
          <w:szCs w:val="20"/>
        </w:rPr>
        <w:t>Capacidad de salir de la zona de confort, reinventarse, solución creativa de problemas, pensamiento estratégico, visión a largo plazo y capacidad de autoevaluación.</w:t>
      </w:r>
    </w:p>
    <w:p w14:paraId="6CA37556" w14:textId="77777777" w:rsidR="005B478F" w:rsidRPr="009F6E4B" w:rsidRDefault="005B478F" w:rsidP="005B478F">
      <w:pPr>
        <w:jc w:val="both"/>
        <w:rPr>
          <w:sz w:val="20"/>
          <w:szCs w:val="20"/>
        </w:rPr>
      </w:pPr>
      <w:r w:rsidRPr="009F6E4B">
        <w:rPr>
          <w:b/>
          <w:bCs/>
          <w:sz w:val="20"/>
          <w:szCs w:val="20"/>
        </w:rPr>
        <w:t xml:space="preserve">Solidaridad. </w:t>
      </w:r>
      <w:r w:rsidRPr="009F6E4B">
        <w:rPr>
          <w:sz w:val="20"/>
          <w:szCs w:val="20"/>
        </w:rPr>
        <w:t>– Es un valor que se basa en el respeto a la dignidad de las personas.</w:t>
      </w:r>
    </w:p>
    <w:p w14:paraId="55D95575" w14:textId="77777777" w:rsidR="005B478F" w:rsidRPr="009F6E4B" w:rsidRDefault="005B478F" w:rsidP="005B478F">
      <w:pPr>
        <w:jc w:val="both"/>
        <w:rPr>
          <w:sz w:val="20"/>
          <w:szCs w:val="20"/>
        </w:rPr>
      </w:pPr>
      <w:r w:rsidRPr="009F6E4B">
        <w:rPr>
          <w:sz w:val="20"/>
          <w:szCs w:val="20"/>
        </w:rPr>
        <w:t>Implica ser consciente de las necesidades de los demás y querer ayudar a satisfacerlas.</w:t>
      </w:r>
    </w:p>
    <w:p w14:paraId="0DB05508" w14:textId="77777777" w:rsidR="005B478F" w:rsidRPr="009F6E4B" w:rsidRDefault="005B478F" w:rsidP="005B478F">
      <w:pPr>
        <w:pStyle w:val="Prrafodelista"/>
        <w:numPr>
          <w:ilvl w:val="0"/>
          <w:numId w:val="5"/>
        </w:numPr>
        <w:spacing w:after="160" w:line="259" w:lineRule="auto"/>
        <w:jc w:val="both"/>
        <w:rPr>
          <w:sz w:val="20"/>
          <w:szCs w:val="20"/>
        </w:rPr>
      </w:pPr>
      <w:r w:rsidRPr="009F6E4B">
        <w:rPr>
          <w:sz w:val="20"/>
          <w:szCs w:val="20"/>
        </w:rPr>
        <w:t>Amor al servicio</w:t>
      </w:r>
    </w:p>
    <w:p w14:paraId="40BABA1F" w14:textId="77777777" w:rsidR="005B478F" w:rsidRPr="009F6E4B" w:rsidRDefault="005B478F" w:rsidP="005B478F">
      <w:pPr>
        <w:pStyle w:val="Prrafodelista"/>
        <w:numPr>
          <w:ilvl w:val="0"/>
          <w:numId w:val="5"/>
        </w:numPr>
        <w:spacing w:after="160" w:line="259" w:lineRule="auto"/>
        <w:jc w:val="both"/>
        <w:rPr>
          <w:sz w:val="20"/>
          <w:szCs w:val="20"/>
        </w:rPr>
      </w:pPr>
      <w:r w:rsidRPr="009F6E4B">
        <w:rPr>
          <w:sz w:val="20"/>
          <w:szCs w:val="20"/>
        </w:rPr>
        <w:t>Empatía</w:t>
      </w:r>
    </w:p>
    <w:p w14:paraId="27041984" w14:textId="77777777" w:rsidR="00654F1D" w:rsidRPr="009F6E4B" w:rsidRDefault="00654F1D" w:rsidP="00CB41C4">
      <w:pPr>
        <w:tabs>
          <w:tab w:val="left" w:leader="underscore" w:pos="9639"/>
        </w:tabs>
        <w:spacing w:after="0" w:line="240" w:lineRule="auto"/>
        <w:jc w:val="both"/>
        <w:rPr>
          <w:rFonts w:cs="Calibri"/>
          <w:sz w:val="20"/>
          <w:szCs w:val="20"/>
        </w:rPr>
      </w:pPr>
    </w:p>
    <w:p w14:paraId="2C110A08" w14:textId="7777777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b/>
          <w:sz w:val="20"/>
          <w:szCs w:val="20"/>
        </w:rPr>
        <w:t>b)</w:t>
      </w:r>
      <w:r w:rsidRPr="009F6E4B">
        <w:rPr>
          <w:rFonts w:cs="Calibri"/>
          <w:sz w:val="20"/>
          <w:szCs w:val="20"/>
        </w:rPr>
        <w:t xml:space="preserve"> Principal actividad.</w:t>
      </w:r>
    </w:p>
    <w:p w14:paraId="54B4A861" w14:textId="77777777" w:rsidR="00BA34B4" w:rsidRPr="009F6E4B" w:rsidRDefault="00BA34B4" w:rsidP="00CB41C4">
      <w:pPr>
        <w:tabs>
          <w:tab w:val="left" w:leader="underscore" w:pos="9639"/>
        </w:tabs>
        <w:spacing w:after="0" w:line="240" w:lineRule="auto"/>
        <w:jc w:val="both"/>
        <w:rPr>
          <w:rFonts w:cs="Calibri"/>
          <w:sz w:val="20"/>
          <w:szCs w:val="20"/>
        </w:rPr>
      </w:pPr>
    </w:p>
    <w:p w14:paraId="31AC81A2" w14:textId="49FCF32B" w:rsidR="00BA34B4" w:rsidRPr="009F6E4B" w:rsidRDefault="00BA34B4" w:rsidP="00BA34B4">
      <w:pPr>
        <w:spacing w:after="0"/>
        <w:jc w:val="both"/>
        <w:rPr>
          <w:rFonts w:cs="Calibri"/>
          <w:sz w:val="20"/>
          <w:szCs w:val="20"/>
        </w:rPr>
      </w:pPr>
      <w:r w:rsidRPr="009F6E4B">
        <w:rPr>
          <w:rFonts w:cs="Arial"/>
          <w:sz w:val="20"/>
          <w:szCs w:val="20"/>
        </w:rPr>
        <w:t>Administrar la Hacienda Pública Municipal en general y actividades de asistencia.</w:t>
      </w:r>
    </w:p>
    <w:p w14:paraId="5329D3F7" w14:textId="77777777" w:rsidR="004620C5" w:rsidRPr="009F6E4B" w:rsidRDefault="004620C5" w:rsidP="00CB41C4">
      <w:pPr>
        <w:tabs>
          <w:tab w:val="left" w:leader="underscore" w:pos="9639"/>
        </w:tabs>
        <w:spacing w:after="0" w:line="240" w:lineRule="auto"/>
        <w:jc w:val="both"/>
        <w:rPr>
          <w:rFonts w:cs="Calibri"/>
          <w:b/>
          <w:sz w:val="20"/>
          <w:szCs w:val="20"/>
        </w:rPr>
      </w:pPr>
    </w:p>
    <w:p w14:paraId="2D21CE61" w14:textId="60BA512B"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c) Ejercicio fiscal (</w:t>
      </w:r>
      <w:r w:rsidR="00CB41C4" w:rsidRPr="009F6E4B">
        <w:rPr>
          <w:rFonts w:cs="Calibri"/>
          <w:b/>
          <w:sz w:val="20"/>
          <w:szCs w:val="20"/>
        </w:rPr>
        <w:t>mencionar,</w:t>
      </w:r>
      <w:r w:rsidRPr="009F6E4B">
        <w:rPr>
          <w:rFonts w:cs="Calibri"/>
          <w:b/>
          <w:sz w:val="20"/>
          <w:szCs w:val="20"/>
        </w:rPr>
        <w:t xml:space="preserve"> por ejemplo: enero a diciembre de 20</w:t>
      </w:r>
      <w:r w:rsidR="009C372B" w:rsidRPr="009F6E4B">
        <w:rPr>
          <w:rFonts w:cs="Calibri"/>
          <w:b/>
          <w:sz w:val="20"/>
          <w:szCs w:val="20"/>
        </w:rPr>
        <w:t>25</w:t>
      </w:r>
      <w:r w:rsidRPr="009F6E4B">
        <w:rPr>
          <w:rFonts w:cs="Calibri"/>
          <w:b/>
          <w:sz w:val="20"/>
          <w:szCs w:val="20"/>
        </w:rPr>
        <w:t>).</w:t>
      </w:r>
    </w:p>
    <w:p w14:paraId="31A56863" w14:textId="77777777" w:rsidR="00BA34B4" w:rsidRPr="009F6E4B" w:rsidRDefault="00BA34B4" w:rsidP="00CB41C4">
      <w:pPr>
        <w:tabs>
          <w:tab w:val="left" w:leader="underscore" w:pos="9639"/>
        </w:tabs>
        <w:spacing w:after="0" w:line="240" w:lineRule="auto"/>
        <w:jc w:val="both"/>
        <w:rPr>
          <w:rFonts w:cs="Calibri"/>
          <w:sz w:val="20"/>
          <w:szCs w:val="20"/>
        </w:rPr>
      </w:pPr>
    </w:p>
    <w:p w14:paraId="31A26DEA" w14:textId="75E84815" w:rsidR="00BA34B4" w:rsidRPr="009F6E4B" w:rsidRDefault="00854ADF" w:rsidP="00CB41C4">
      <w:pPr>
        <w:tabs>
          <w:tab w:val="left" w:leader="underscore" w:pos="9639"/>
        </w:tabs>
        <w:spacing w:after="0" w:line="240" w:lineRule="auto"/>
        <w:jc w:val="both"/>
        <w:rPr>
          <w:rFonts w:cs="Calibri"/>
          <w:sz w:val="20"/>
          <w:szCs w:val="20"/>
        </w:rPr>
      </w:pPr>
      <w:r w:rsidRPr="009F6E4B">
        <w:rPr>
          <w:sz w:val="20"/>
          <w:szCs w:val="20"/>
        </w:rPr>
        <w:t xml:space="preserve">Del 1 de </w:t>
      </w:r>
      <w:r w:rsidR="009C372B" w:rsidRPr="009F6E4B">
        <w:rPr>
          <w:sz w:val="20"/>
          <w:szCs w:val="20"/>
        </w:rPr>
        <w:t>enero al 31 de diciembre de 2025</w:t>
      </w:r>
      <w:r w:rsidR="00654F1D" w:rsidRPr="009F6E4B">
        <w:rPr>
          <w:rFonts w:cs="Calibri"/>
          <w:sz w:val="20"/>
          <w:szCs w:val="20"/>
        </w:rPr>
        <w:t>.</w:t>
      </w:r>
      <w:r w:rsidR="00837F59" w:rsidRPr="009F6E4B">
        <w:rPr>
          <w:rFonts w:cs="Calibri"/>
          <w:sz w:val="20"/>
          <w:szCs w:val="20"/>
        </w:rPr>
        <w:t xml:space="preserve"> Se informa al 30 de junio</w:t>
      </w:r>
      <w:r w:rsidR="009C372B" w:rsidRPr="009F6E4B">
        <w:rPr>
          <w:rFonts w:cs="Calibri"/>
          <w:sz w:val="20"/>
          <w:szCs w:val="20"/>
        </w:rPr>
        <w:t xml:space="preserve"> de 2025</w:t>
      </w:r>
      <w:r w:rsidRPr="009F6E4B">
        <w:rPr>
          <w:rFonts w:cs="Calibri"/>
          <w:sz w:val="20"/>
          <w:szCs w:val="20"/>
        </w:rPr>
        <w:t>.</w:t>
      </w:r>
    </w:p>
    <w:p w14:paraId="1D0B81C2" w14:textId="77777777" w:rsidR="00654F1D" w:rsidRPr="009F6E4B" w:rsidRDefault="00654F1D" w:rsidP="00CB41C4">
      <w:pPr>
        <w:tabs>
          <w:tab w:val="left" w:leader="underscore" w:pos="9639"/>
        </w:tabs>
        <w:spacing w:after="0" w:line="240" w:lineRule="auto"/>
        <w:jc w:val="both"/>
        <w:rPr>
          <w:rFonts w:cs="Calibri"/>
          <w:sz w:val="20"/>
          <w:szCs w:val="20"/>
        </w:rPr>
      </w:pPr>
    </w:p>
    <w:p w14:paraId="6B13C93F"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lastRenderedPageBreak/>
        <w:t>d) Régimen jurídico (Forma como está dada de alta la entidad ante la S.H.C.P., ejemplos: S.C., S.A., Personas morales sin fines de lucro, etc.).</w:t>
      </w:r>
    </w:p>
    <w:p w14:paraId="7F1BD284" w14:textId="77777777" w:rsidR="00654F1D" w:rsidRPr="009F6E4B" w:rsidRDefault="00654F1D" w:rsidP="00CB41C4">
      <w:pPr>
        <w:tabs>
          <w:tab w:val="left" w:leader="underscore" w:pos="9639"/>
        </w:tabs>
        <w:spacing w:after="0" w:line="240" w:lineRule="auto"/>
        <w:jc w:val="both"/>
        <w:rPr>
          <w:rFonts w:cs="Calibri"/>
          <w:sz w:val="20"/>
          <w:szCs w:val="20"/>
        </w:rPr>
      </w:pPr>
    </w:p>
    <w:p w14:paraId="59DACB46" w14:textId="39B53178" w:rsidR="00654F1D" w:rsidRPr="009F6E4B" w:rsidRDefault="00654F1D" w:rsidP="00654F1D">
      <w:pPr>
        <w:spacing w:after="0"/>
        <w:jc w:val="both"/>
        <w:rPr>
          <w:rFonts w:cs="Calibri"/>
          <w:sz w:val="20"/>
          <w:szCs w:val="20"/>
        </w:rPr>
      </w:pPr>
      <w:r w:rsidRPr="009F6E4B">
        <w:rPr>
          <w:rFonts w:cs="Arial"/>
          <w:sz w:val="20"/>
          <w:szCs w:val="20"/>
        </w:rPr>
        <w:t>Persona moral con fines no lucrativos.</w:t>
      </w:r>
    </w:p>
    <w:p w14:paraId="684EFE58" w14:textId="77777777" w:rsidR="00654F1D" w:rsidRPr="009F6E4B" w:rsidRDefault="00654F1D" w:rsidP="00654F1D">
      <w:pPr>
        <w:tabs>
          <w:tab w:val="left" w:leader="underscore" w:pos="9639"/>
        </w:tabs>
        <w:spacing w:after="0" w:line="240" w:lineRule="auto"/>
        <w:jc w:val="both"/>
        <w:rPr>
          <w:rFonts w:cs="Calibri"/>
          <w:sz w:val="20"/>
          <w:szCs w:val="20"/>
        </w:rPr>
      </w:pPr>
    </w:p>
    <w:p w14:paraId="7A0F78D6" w14:textId="77777777" w:rsidR="00654F1D" w:rsidRPr="009F6E4B" w:rsidRDefault="007D1E76" w:rsidP="00654F1D">
      <w:pPr>
        <w:tabs>
          <w:tab w:val="left" w:leader="underscore" w:pos="9639"/>
        </w:tabs>
        <w:spacing w:after="0" w:line="240" w:lineRule="auto"/>
        <w:jc w:val="both"/>
        <w:rPr>
          <w:rFonts w:cs="Calibri"/>
          <w:b/>
          <w:sz w:val="20"/>
          <w:szCs w:val="20"/>
        </w:rPr>
      </w:pPr>
      <w:r w:rsidRPr="009F6E4B">
        <w:rPr>
          <w:rFonts w:cs="Calibri"/>
          <w:b/>
          <w:sz w:val="20"/>
          <w:szCs w:val="20"/>
        </w:rPr>
        <w:t xml:space="preserve">e) Consideraciones fiscales del ente: </w:t>
      </w:r>
      <w:r w:rsidR="00657009" w:rsidRPr="009F6E4B">
        <w:rPr>
          <w:rFonts w:cs="Calibri"/>
          <w:b/>
          <w:sz w:val="20"/>
          <w:szCs w:val="20"/>
        </w:rPr>
        <w:t>R</w:t>
      </w:r>
      <w:r w:rsidRPr="009F6E4B">
        <w:rPr>
          <w:rFonts w:cs="Calibri"/>
          <w:b/>
          <w:sz w:val="20"/>
          <w:szCs w:val="20"/>
        </w:rPr>
        <w:t>evelar el tipo de contribuciones que esté obligado a pagar o retener.</w:t>
      </w:r>
    </w:p>
    <w:p w14:paraId="3179C194" w14:textId="77777777" w:rsidR="00654F1D" w:rsidRPr="009F6E4B" w:rsidRDefault="00654F1D" w:rsidP="00654F1D">
      <w:pPr>
        <w:tabs>
          <w:tab w:val="left" w:leader="underscore" w:pos="9639"/>
        </w:tabs>
        <w:spacing w:after="0" w:line="240" w:lineRule="auto"/>
        <w:jc w:val="both"/>
        <w:rPr>
          <w:rFonts w:cs="Calibri"/>
          <w:sz w:val="20"/>
          <w:szCs w:val="20"/>
        </w:rPr>
      </w:pPr>
    </w:p>
    <w:p w14:paraId="38747194" w14:textId="77777777" w:rsidR="00654F1D" w:rsidRPr="009F6E4B" w:rsidRDefault="00654F1D" w:rsidP="004620C5">
      <w:pPr>
        <w:pStyle w:val="Prrafodelista"/>
        <w:numPr>
          <w:ilvl w:val="0"/>
          <w:numId w:val="7"/>
        </w:numPr>
        <w:jc w:val="both"/>
        <w:rPr>
          <w:sz w:val="20"/>
          <w:szCs w:val="20"/>
        </w:rPr>
      </w:pPr>
      <w:r w:rsidRPr="009F6E4B">
        <w:rPr>
          <w:sz w:val="20"/>
          <w:szCs w:val="20"/>
        </w:rPr>
        <w:t xml:space="preserve">Entero de retenciones mensuales de ISR por sueldos y salarios </w:t>
      </w:r>
    </w:p>
    <w:p w14:paraId="66361919" w14:textId="293D04A7" w:rsidR="00654F1D" w:rsidRPr="009F6E4B" w:rsidRDefault="00654F1D" w:rsidP="004620C5">
      <w:pPr>
        <w:pStyle w:val="Prrafodelista"/>
        <w:numPr>
          <w:ilvl w:val="0"/>
          <w:numId w:val="7"/>
        </w:numPr>
        <w:jc w:val="both"/>
        <w:rPr>
          <w:sz w:val="20"/>
          <w:szCs w:val="20"/>
        </w:rPr>
      </w:pPr>
      <w:r w:rsidRPr="009F6E4B">
        <w:rPr>
          <w:sz w:val="20"/>
          <w:szCs w:val="20"/>
        </w:rPr>
        <w:t>Entero de retención de ISR por servicios profesionales</w:t>
      </w:r>
    </w:p>
    <w:p w14:paraId="446DC839" w14:textId="77777777" w:rsidR="00654F1D" w:rsidRPr="009F6E4B" w:rsidRDefault="00654F1D" w:rsidP="004620C5">
      <w:pPr>
        <w:pStyle w:val="Prrafodelista"/>
        <w:numPr>
          <w:ilvl w:val="0"/>
          <w:numId w:val="7"/>
        </w:numPr>
        <w:jc w:val="both"/>
        <w:rPr>
          <w:sz w:val="20"/>
          <w:szCs w:val="20"/>
        </w:rPr>
      </w:pPr>
      <w:r w:rsidRPr="009F6E4B">
        <w:rPr>
          <w:sz w:val="20"/>
          <w:szCs w:val="20"/>
        </w:rPr>
        <w:t>Entero de retenciones mensuales de ISR por ingresos asimilados a salarios</w:t>
      </w:r>
    </w:p>
    <w:p w14:paraId="42A6FB03" w14:textId="7C195DC5" w:rsidR="00654F1D" w:rsidRPr="009F6E4B" w:rsidRDefault="00654F1D" w:rsidP="004620C5">
      <w:pPr>
        <w:pStyle w:val="Prrafodelista"/>
        <w:numPr>
          <w:ilvl w:val="0"/>
          <w:numId w:val="7"/>
        </w:numPr>
        <w:jc w:val="both"/>
        <w:rPr>
          <w:sz w:val="20"/>
          <w:szCs w:val="20"/>
        </w:rPr>
      </w:pPr>
      <w:r w:rsidRPr="009F6E4B">
        <w:rPr>
          <w:sz w:val="20"/>
          <w:szCs w:val="20"/>
        </w:rPr>
        <w:t>Entero mensual de retenciones de ISR de ingresos por arrendamiento</w:t>
      </w:r>
    </w:p>
    <w:p w14:paraId="1AF886CC" w14:textId="77777777" w:rsidR="00654F1D" w:rsidRPr="009F6E4B" w:rsidRDefault="00654F1D" w:rsidP="004620C5">
      <w:pPr>
        <w:pStyle w:val="Prrafodelista"/>
        <w:numPr>
          <w:ilvl w:val="0"/>
          <w:numId w:val="7"/>
        </w:numPr>
        <w:jc w:val="both"/>
        <w:rPr>
          <w:sz w:val="20"/>
          <w:szCs w:val="20"/>
        </w:rPr>
      </w:pPr>
      <w:r w:rsidRPr="009F6E4B">
        <w:rPr>
          <w:sz w:val="20"/>
          <w:szCs w:val="20"/>
        </w:rPr>
        <w:t>Declaración informativa anual de pagos y retenciones de servicios profesionales. Personas Morales. Impuesto Sobre la Renta</w:t>
      </w:r>
    </w:p>
    <w:p w14:paraId="39E4301B" w14:textId="66C290BA" w:rsidR="004620C5" w:rsidRPr="009F6E4B" w:rsidRDefault="00654F1D" w:rsidP="009F6E4B">
      <w:pPr>
        <w:pStyle w:val="Prrafodelista"/>
        <w:numPr>
          <w:ilvl w:val="0"/>
          <w:numId w:val="7"/>
        </w:numPr>
        <w:jc w:val="both"/>
        <w:rPr>
          <w:sz w:val="20"/>
          <w:szCs w:val="20"/>
        </w:rPr>
      </w:pPr>
      <w:r w:rsidRPr="009F6E4B">
        <w:rPr>
          <w:sz w:val="20"/>
          <w:szCs w:val="20"/>
        </w:rPr>
        <w:t>Declaración informativa anual de retenciones de ISR por arrendamiento de inmuebles</w:t>
      </w:r>
    </w:p>
    <w:p w14:paraId="470E3CA3" w14:textId="77777777" w:rsidR="009E3E71" w:rsidRDefault="009E3E71" w:rsidP="00CB41C4">
      <w:pPr>
        <w:tabs>
          <w:tab w:val="left" w:leader="underscore" w:pos="9639"/>
        </w:tabs>
        <w:spacing w:after="0" w:line="240" w:lineRule="auto"/>
        <w:jc w:val="both"/>
        <w:rPr>
          <w:rFonts w:cs="Calibri"/>
          <w:b/>
          <w:sz w:val="20"/>
          <w:szCs w:val="20"/>
        </w:rPr>
      </w:pPr>
    </w:p>
    <w:p w14:paraId="08390160" w14:textId="77777777" w:rsidR="009E3E71" w:rsidRDefault="009E3E71" w:rsidP="00CB41C4">
      <w:pPr>
        <w:tabs>
          <w:tab w:val="left" w:leader="underscore" w:pos="9639"/>
        </w:tabs>
        <w:spacing w:after="0" w:line="240" w:lineRule="auto"/>
        <w:jc w:val="both"/>
        <w:rPr>
          <w:rFonts w:cs="Calibri"/>
          <w:b/>
          <w:sz w:val="20"/>
          <w:szCs w:val="20"/>
        </w:rPr>
      </w:pPr>
    </w:p>
    <w:p w14:paraId="0DF67048" w14:textId="77777777" w:rsidR="009E3E71" w:rsidRDefault="009E3E71" w:rsidP="00CB41C4">
      <w:pPr>
        <w:tabs>
          <w:tab w:val="left" w:leader="underscore" w:pos="9639"/>
        </w:tabs>
        <w:spacing w:after="0" w:line="240" w:lineRule="auto"/>
        <w:jc w:val="both"/>
        <w:rPr>
          <w:rFonts w:cs="Calibri"/>
          <w:b/>
          <w:sz w:val="20"/>
          <w:szCs w:val="20"/>
        </w:rPr>
      </w:pPr>
    </w:p>
    <w:p w14:paraId="423E3AAB" w14:textId="77777777" w:rsidR="009E3E71" w:rsidRDefault="009E3E71" w:rsidP="00CB41C4">
      <w:pPr>
        <w:tabs>
          <w:tab w:val="left" w:leader="underscore" w:pos="9639"/>
        </w:tabs>
        <w:spacing w:after="0" w:line="240" w:lineRule="auto"/>
        <w:jc w:val="both"/>
        <w:rPr>
          <w:rFonts w:cs="Calibri"/>
          <w:b/>
          <w:sz w:val="20"/>
          <w:szCs w:val="20"/>
        </w:rPr>
      </w:pPr>
    </w:p>
    <w:p w14:paraId="685D9B05" w14:textId="77777777" w:rsidR="009E3E71" w:rsidRDefault="009E3E71" w:rsidP="00CB41C4">
      <w:pPr>
        <w:tabs>
          <w:tab w:val="left" w:leader="underscore" w:pos="9639"/>
        </w:tabs>
        <w:spacing w:after="0" w:line="240" w:lineRule="auto"/>
        <w:jc w:val="both"/>
        <w:rPr>
          <w:rFonts w:cs="Calibri"/>
          <w:b/>
          <w:sz w:val="20"/>
          <w:szCs w:val="20"/>
        </w:rPr>
      </w:pPr>
    </w:p>
    <w:p w14:paraId="6A10F40B" w14:textId="77777777" w:rsidR="009E3E71" w:rsidRDefault="009E3E71" w:rsidP="00CB41C4">
      <w:pPr>
        <w:tabs>
          <w:tab w:val="left" w:leader="underscore" w:pos="9639"/>
        </w:tabs>
        <w:spacing w:after="0" w:line="240" w:lineRule="auto"/>
        <w:jc w:val="both"/>
        <w:rPr>
          <w:rFonts w:cs="Calibri"/>
          <w:b/>
          <w:sz w:val="20"/>
          <w:szCs w:val="20"/>
        </w:rPr>
      </w:pPr>
    </w:p>
    <w:p w14:paraId="276F330C" w14:textId="77777777" w:rsidR="009E3E71" w:rsidRDefault="009E3E71" w:rsidP="00CB41C4">
      <w:pPr>
        <w:tabs>
          <w:tab w:val="left" w:leader="underscore" w:pos="9639"/>
        </w:tabs>
        <w:spacing w:after="0" w:line="240" w:lineRule="auto"/>
        <w:jc w:val="both"/>
        <w:rPr>
          <w:rFonts w:cs="Calibri"/>
          <w:b/>
          <w:sz w:val="20"/>
          <w:szCs w:val="20"/>
        </w:rPr>
      </w:pPr>
    </w:p>
    <w:p w14:paraId="70062029" w14:textId="77777777" w:rsidR="009E3E71" w:rsidRDefault="009E3E71" w:rsidP="00CB41C4">
      <w:pPr>
        <w:tabs>
          <w:tab w:val="left" w:leader="underscore" w:pos="9639"/>
        </w:tabs>
        <w:spacing w:after="0" w:line="240" w:lineRule="auto"/>
        <w:jc w:val="both"/>
        <w:rPr>
          <w:rFonts w:cs="Calibri"/>
          <w:b/>
          <w:sz w:val="20"/>
          <w:szCs w:val="20"/>
        </w:rPr>
      </w:pPr>
    </w:p>
    <w:p w14:paraId="360CA5B4" w14:textId="77777777" w:rsidR="009E3E71" w:rsidRDefault="009E3E71" w:rsidP="00CB41C4">
      <w:pPr>
        <w:tabs>
          <w:tab w:val="left" w:leader="underscore" w:pos="9639"/>
        </w:tabs>
        <w:spacing w:after="0" w:line="240" w:lineRule="auto"/>
        <w:jc w:val="both"/>
        <w:rPr>
          <w:rFonts w:cs="Calibri"/>
          <w:b/>
          <w:sz w:val="20"/>
          <w:szCs w:val="20"/>
        </w:rPr>
      </w:pPr>
    </w:p>
    <w:p w14:paraId="1E3DB7F2" w14:textId="77777777" w:rsidR="009E3E71" w:rsidRDefault="009E3E71" w:rsidP="00CB41C4">
      <w:pPr>
        <w:tabs>
          <w:tab w:val="left" w:leader="underscore" w:pos="9639"/>
        </w:tabs>
        <w:spacing w:after="0" w:line="240" w:lineRule="auto"/>
        <w:jc w:val="both"/>
        <w:rPr>
          <w:rFonts w:cs="Calibri"/>
          <w:b/>
          <w:sz w:val="20"/>
          <w:szCs w:val="20"/>
        </w:rPr>
      </w:pPr>
    </w:p>
    <w:p w14:paraId="40C67251" w14:textId="77777777" w:rsidR="009E3E71" w:rsidRDefault="009E3E71" w:rsidP="00CB41C4">
      <w:pPr>
        <w:tabs>
          <w:tab w:val="left" w:leader="underscore" w:pos="9639"/>
        </w:tabs>
        <w:spacing w:after="0" w:line="240" w:lineRule="auto"/>
        <w:jc w:val="both"/>
        <w:rPr>
          <w:rFonts w:cs="Calibri"/>
          <w:b/>
          <w:sz w:val="20"/>
          <w:szCs w:val="20"/>
        </w:rPr>
      </w:pPr>
    </w:p>
    <w:p w14:paraId="181C5822" w14:textId="77777777" w:rsidR="009E3E71" w:rsidRDefault="009E3E71" w:rsidP="00CB41C4">
      <w:pPr>
        <w:tabs>
          <w:tab w:val="left" w:leader="underscore" w:pos="9639"/>
        </w:tabs>
        <w:spacing w:after="0" w:line="240" w:lineRule="auto"/>
        <w:jc w:val="both"/>
        <w:rPr>
          <w:rFonts w:cs="Calibri"/>
          <w:b/>
          <w:sz w:val="20"/>
          <w:szCs w:val="20"/>
        </w:rPr>
      </w:pPr>
    </w:p>
    <w:p w14:paraId="126DC780" w14:textId="77777777" w:rsidR="009E3E71" w:rsidRDefault="009E3E71" w:rsidP="00CB41C4">
      <w:pPr>
        <w:tabs>
          <w:tab w:val="left" w:leader="underscore" w:pos="9639"/>
        </w:tabs>
        <w:spacing w:after="0" w:line="240" w:lineRule="auto"/>
        <w:jc w:val="both"/>
        <w:rPr>
          <w:rFonts w:cs="Calibri"/>
          <w:b/>
          <w:sz w:val="20"/>
          <w:szCs w:val="20"/>
        </w:rPr>
      </w:pPr>
    </w:p>
    <w:p w14:paraId="188B475A" w14:textId="77777777" w:rsidR="009E3E71" w:rsidRDefault="009E3E71" w:rsidP="00CB41C4">
      <w:pPr>
        <w:tabs>
          <w:tab w:val="left" w:leader="underscore" w:pos="9639"/>
        </w:tabs>
        <w:spacing w:after="0" w:line="240" w:lineRule="auto"/>
        <w:jc w:val="both"/>
        <w:rPr>
          <w:rFonts w:cs="Calibri"/>
          <w:b/>
          <w:sz w:val="20"/>
          <w:szCs w:val="20"/>
        </w:rPr>
      </w:pPr>
    </w:p>
    <w:p w14:paraId="323D16F8" w14:textId="77777777" w:rsidR="009E3E71" w:rsidRDefault="009E3E71" w:rsidP="00CB41C4">
      <w:pPr>
        <w:tabs>
          <w:tab w:val="left" w:leader="underscore" w:pos="9639"/>
        </w:tabs>
        <w:spacing w:after="0" w:line="240" w:lineRule="auto"/>
        <w:jc w:val="both"/>
        <w:rPr>
          <w:rFonts w:cs="Calibri"/>
          <w:b/>
          <w:sz w:val="20"/>
          <w:szCs w:val="20"/>
        </w:rPr>
      </w:pPr>
    </w:p>
    <w:p w14:paraId="6CA708AD" w14:textId="77777777" w:rsidR="009E3E71" w:rsidRDefault="009E3E71" w:rsidP="00CB41C4">
      <w:pPr>
        <w:tabs>
          <w:tab w:val="left" w:leader="underscore" w:pos="9639"/>
        </w:tabs>
        <w:spacing w:after="0" w:line="240" w:lineRule="auto"/>
        <w:jc w:val="both"/>
        <w:rPr>
          <w:rFonts w:cs="Calibri"/>
          <w:b/>
          <w:sz w:val="20"/>
          <w:szCs w:val="20"/>
        </w:rPr>
      </w:pPr>
    </w:p>
    <w:p w14:paraId="5F04B3DB" w14:textId="77777777" w:rsidR="009E3E71" w:rsidRDefault="009E3E71" w:rsidP="00CB41C4">
      <w:pPr>
        <w:tabs>
          <w:tab w:val="left" w:leader="underscore" w:pos="9639"/>
        </w:tabs>
        <w:spacing w:after="0" w:line="240" w:lineRule="auto"/>
        <w:jc w:val="both"/>
        <w:rPr>
          <w:rFonts w:cs="Calibri"/>
          <w:b/>
          <w:sz w:val="20"/>
          <w:szCs w:val="20"/>
        </w:rPr>
      </w:pPr>
    </w:p>
    <w:p w14:paraId="5274BEAF" w14:textId="77777777" w:rsidR="009E3E71" w:rsidRDefault="009E3E71" w:rsidP="00CB41C4">
      <w:pPr>
        <w:tabs>
          <w:tab w:val="left" w:leader="underscore" w:pos="9639"/>
        </w:tabs>
        <w:spacing w:after="0" w:line="240" w:lineRule="auto"/>
        <w:jc w:val="both"/>
        <w:rPr>
          <w:rFonts w:cs="Calibri"/>
          <w:b/>
          <w:sz w:val="20"/>
          <w:szCs w:val="20"/>
        </w:rPr>
      </w:pPr>
    </w:p>
    <w:p w14:paraId="63C42F84" w14:textId="77777777" w:rsidR="009E3E71" w:rsidRDefault="009E3E71" w:rsidP="00CB41C4">
      <w:pPr>
        <w:tabs>
          <w:tab w:val="left" w:leader="underscore" w:pos="9639"/>
        </w:tabs>
        <w:spacing w:after="0" w:line="240" w:lineRule="auto"/>
        <w:jc w:val="both"/>
        <w:rPr>
          <w:rFonts w:cs="Calibri"/>
          <w:b/>
          <w:sz w:val="20"/>
          <w:szCs w:val="20"/>
        </w:rPr>
      </w:pPr>
    </w:p>
    <w:p w14:paraId="785FC307" w14:textId="77777777" w:rsidR="009E3E71" w:rsidRDefault="009E3E71" w:rsidP="00CB41C4">
      <w:pPr>
        <w:tabs>
          <w:tab w:val="left" w:leader="underscore" w:pos="9639"/>
        </w:tabs>
        <w:spacing w:after="0" w:line="240" w:lineRule="auto"/>
        <w:jc w:val="both"/>
        <w:rPr>
          <w:rFonts w:cs="Calibri"/>
          <w:b/>
          <w:sz w:val="20"/>
          <w:szCs w:val="20"/>
        </w:rPr>
      </w:pPr>
    </w:p>
    <w:p w14:paraId="0CC9C8D9" w14:textId="77777777" w:rsidR="009E3E71" w:rsidRDefault="009E3E71" w:rsidP="00CB41C4">
      <w:pPr>
        <w:tabs>
          <w:tab w:val="left" w:leader="underscore" w:pos="9639"/>
        </w:tabs>
        <w:spacing w:after="0" w:line="240" w:lineRule="auto"/>
        <w:jc w:val="both"/>
        <w:rPr>
          <w:rFonts w:cs="Calibri"/>
          <w:b/>
          <w:sz w:val="20"/>
          <w:szCs w:val="20"/>
        </w:rPr>
      </w:pPr>
    </w:p>
    <w:p w14:paraId="342AF67D" w14:textId="77777777" w:rsidR="009E3E71" w:rsidRDefault="009E3E71" w:rsidP="00CB41C4">
      <w:pPr>
        <w:tabs>
          <w:tab w:val="left" w:leader="underscore" w:pos="9639"/>
        </w:tabs>
        <w:spacing w:after="0" w:line="240" w:lineRule="auto"/>
        <w:jc w:val="both"/>
        <w:rPr>
          <w:rFonts w:cs="Calibri"/>
          <w:b/>
          <w:sz w:val="20"/>
          <w:szCs w:val="20"/>
        </w:rPr>
      </w:pPr>
    </w:p>
    <w:p w14:paraId="6F3EE217" w14:textId="77777777" w:rsidR="009E3E71" w:rsidRDefault="009E3E71" w:rsidP="00CB41C4">
      <w:pPr>
        <w:tabs>
          <w:tab w:val="left" w:leader="underscore" w:pos="9639"/>
        </w:tabs>
        <w:spacing w:after="0" w:line="240" w:lineRule="auto"/>
        <w:jc w:val="both"/>
        <w:rPr>
          <w:rFonts w:cs="Calibri"/>
          <w:b/>
          <w:sz w:val="20"/>
          <w:szCs w:val="20"/>
        </w:rPr>
      </w:pPr>
    </w:p>
    <w:p w14:paraId="5A746D89" w14:textId="77777777" w:rsidR="009E3E71" w:rsidRDefault="009E3E71" w:rsidP="00CB41C4">
      <w:pPr>
        <w:tabs>
          <w:tab w:val="left" w:leader="underscore" w:pos="9639"/>
        </w:tabs>
        <w:spacing w:after="0" w:line="240" w:lineRule="auto"/>
        <w:jc w:val="both"/>
        <w:rPr>
          <w:rFonts w:cs="Calibri"/>
          <w:b/>
          <w:sz w:val="20"/>
          <w:szCs w:val="20"/>
        </w:rPr>
      </w:pPr>
    </w:p>
    <w:p w14:paraId="3F9B113D" w14:textId="77777777" w:rsidR="009E3E71" w:rsidRDefault="009E3E71" w:rsidP="00CB41C4">
      <w:pPr>
        <w:tabs>
          <w:tab w:val="left" w:leader="underscore" w:pos="9639"/>
        </w:tabs>
        <w:spacing w:after="0" w:line="240" w:lineRule="auto"/>
        <w:jc w:val="both"/>
        <w:rPr>
          <w:rFonts w:cs="Calibri"/>
          <w:b/>
          <w:sz w:val="20"/>
          <w:szCs w:val="20"/>
        </w:rPr>
      </w:pPr>
    </w:p>
    <w:p w14:paraId="3AF11D4A" w14:textId="77777777" w:rsidR="009E3E71" w:rsidRDefault="009E3E71" w:rsidP="00CB41C4">
      <w:pPr>
        <w:tabs>
          <w:tab w:val="left" w:leader="underscore" w:pos="9639"/>
        </w:tabs>
        <w:spacing w:after="0" w:line="240" w:lineRule="auto"/>
        <w:jc w:val="both"/>
        <w:rPr>
          <w:rFonts w:cs="Calibri"/>
          <w:b/>
          <w:sz w:val="20"/>
          <w:szCs w:val="20"/>
        </w:rPr>
      </w:pPr>
    </w:p>
    <w:p w14:paraId="6EB77A6D" w14:textId="76BEF0C5"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f) Estructura organizacional básica.</w:t>
      </w:r>
    </w:p>
    <w:p w14:paraId="052DDB11" w14:textId="4B4231E5" w:rsidR="00EC077C" w:rsidRPr="009F6E4B" w:rsidRDefault="007D1E76" w:rsidP="000722D8">
      <w:pPr>
        <w:tabs>
          <w:tab w:val="left" w:leader="underscore" w:pos="9639"/>
        </w:tabs>
        <w:spacing w:after="0" w:line="240" w:lineRule="auto"/>
        <w:ind w:firstLine="708"/>
        <w:jc w:val="both"/>
        <w:rPr>
          <w:rFonts w:cs="Calibri"/>
          <w:sz w:val="20"/>
          <w:szCs w:val="20"/>
        </w:rPr>
      </w:pPr>
      <w:r w:rsidRPr="009F6E4B">
        <w:rPr>
          <w:rFonts w:cs="Calibri"/>
          <w:sz w:val="20"/>
          <w:szCs w:val="20"/>
        </w:rPr>
        <w:t>*Anexar organigrama de la entidad.</w:t>
      </w:r>
    </w:p>
    <w:p w14:paraId="2FEC7B12" w14:textId="7552DAD1" w:rsidR="00EC077C" w:rsidRPr="009F6E4B" w:rsidRDefault="004620C5" w:rsidP="00A65256">
      <w:pPr>
        <w:tabs>
          <w:tab w:val="left" w:leader="underscore" w:pos="9639"/>
        </w:tabs>
        <w:spacing w:after="0" w:line="240" w:lineRule="auto"/>
        <w:ind w:firstLine="708"/>
        <w:jc w:val="center"/>
        <w:rPr>
          <w:rFonts w:cs="Calibri"/>
          <w:b/>
          <w:bCs/>
          <w:sz w:val="20"/>
          <w:szCs w:val="20"/>
        </w:rPr>
      </w:pPr>
      <w:r w:rsidRPr="009F6E4B">
        <w:rPr>
          <w:rFonts w:cs="Calibri"/>
          <w:b/>
          <w:bCs/>
          <w:sz w:val="20"/>
          <w:szCs w:val="20"/>
        </w:rPr>
        <w:t>(Administración 2024-2027)</w:t>
      </w:r>
    </w:p>
    <w:p w14:paraId="0874F162" w14:textId="77777777" w:rsidR="0043484C" w:rsidRPr="009F6E4B" w:rsidRDefault="0043484C" w:rsidP="00EC077C">
      <w:pPr>
        <w:tabs>
          <w:tab w:val="left" w:leader="underscore" w:pos="9639"/>
        </w:tabs>
        <w:spacing w:after="0" w:line="240" w:lineRule="auto"/>
        <w:jc w:val="center"/>
        <w:rPr>
          <w:rFonts w:cs="Calibri"/>
          <w:b/>
          <w:bCs/>
          <w:sz w:val="20"/>
          <w:szCs w:val="20"/>
        </w:rPr>
      </w:pPr>
    </w:p>
    <w:p w14:paraId="390FC876" w14:textId="7D650CC3" w:rsidR="0043484C" w:rsidRPr="009F6E4B" w:rsidRDefault="00D06A73" w:rsidP="00EC077C">
      <w:pPr>
        <w:tabs>
          <w:tab w:val="left" w:leader="underscore" w:pos="9639"/>
        </w:tabs>
        <w:spacing w:after="0" w:line="240" w:lineRule="auto"/>
        <w:jc w:val="center"/>
        <w:rPr>
          <w:rFonts w:cs="Calibri"/>
          <w:b/>
          <w:bCs/>
          <w:sz w:val="20"/>
          <w:szCs w:val="20"/>
        </w:rPr>
      </w:pPr>
      <w:r w:rsidRPr="00D06A73">
        <w:rPr>
          <w:rFonts w:cs="Calibri"/>
          <w:b/>
          <w:bCs/>
          <w:sz w:val="20"/>
          <w:szCs w:val="20"/>
        </w:rPr>
        <w:drawing>
          <wp:inline distT="0" distB="0" distL="0" distR="0" wp14:anchorId="28A7841C" wp14:editId="164A987E">
            <wp:extent cx="6151880" cy="3421380"/>
            <wp:effectExtent l="0" t="0" r="127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51880" cy="3421380"/>
                    </a:xfrm>
                    <a:prstGeom prst="rect">
                      <a:avLst/>
                    </a:prstGeom>
                  </pic:spPr>
                </pic:pic>
              </a:graphicData>
            </a:graphic>
          </wp:inline>
        </w:drawing>
      </w:r>
    </w:p>
    <w:p w14:paraId="3B91A393" w14:textId="77777777" w:rsidR="00EC077C" w:rsidRPr="009F6E4B" w:rsidRDefault="00EC077C" w:rsidP="00EC077C">
      <w:pPr>
        <w:tabs>
          <w:tab w:val="left" w:leader="underscore" w:pos="9639"/>
        </w:tabs>
        <w:spacing w:after="0" w:line="240" w:lineRule="auto"/>
        <w:jc w:val="center"/>
        <w:rPr>
          <w:rFonts w:cs="Calibri"/>
          <w:b/>
          <w:bCs/>
          <w:sz w:val="20"/>
          <w:szCs w:val="20"/>
        </w:rPr>
      </w:pPr>
    </w:p>
    <w:p w14:paraId="19CEE146" w14:textId="0080C658"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 xml:space="preserve">g) </w:t>
      </w:r>
      <w:r w:rsidR="00396D53" w:rsidRPr="009F6E4B">
        <w:rPr>
          <w:rFonts w:cs="Calibri"/>
          <w:b/>
          <w:sz w:val="20"/>
          <w:szCs w:val="20"/>
        </w:rPr>
        <w:t>Fideicomisos de los cuales es fideicomitente o fideicomisario, y contratos análogos, incluyendo mandatos de los cuales es parte.</w:t>
      </w:r>
    </w:p>
    <w:p w14:paraId="6B9C3B7B" w14:textId="77777777" w:rsidR="007E3F3E" w:rsidRPr="009F6E4B" w:rsidRDefault="007E3F3E" w:rsidP="00CB41C4">
      <w:pPr>
        <w:tabs>
          <w:tab w:val="left" w:leader="underscore" w:pos="9639"/>
        </w:tabs>
        <w:spacing w:after="0" w:line="240" w:lineRule="auto"/>
        <w:jc w:val="both"/>
        <w:rPr>
          <w:rFonts w:cs="Calibri"/>
          <w:sz w:val="20"/>
          <w:szCs w:val="20"/>
        </w:rPr>
      </w:pPr>
    </w:p>
    <w:p w14:paraId="7A1B9FBA" w14:textId="77777777" w:rsidR="007E3F3E" w:rsidRPr="009F6E4B" w:rsidRDefault="007E3F3E" w:rsidP="007E3F3E">
      <w:pPr>
        <w:tabs>
          <w:tab w:val="left" w:leader="underscore" w:pos="9639"/>
        </w:tabs>
        <w:spacing w:after="0" w:line="240" w:lineRule="auto"/>
        <w:jc w:val="both"/>
        <w:rPr>
          <w:rFonts w:cs="Calibri"/>
          <w:sz w:val="20"/>
          <w:szCs w:val="20"/>
        </w:rPr>
      </w:pPr>
      <w:r w:rsidRPr="009F6E4B">
        <w:rPr>
          <w:rFonts w:cs="Calibri"/>
          <w:sz w:val="20"/>
          <w:szCs w:val="20"/>
        </w:rPr>
        <w:t>Al periodo que se informa, el Municipio de Guanajuato no cuenta con fideicomisos, mandatos y análogos.</w:t>
      </w:r>
    </w:p>
    <w:p w14:paraId="4580F7E1" w14:textId="77777777" w:rsidR="000722D8" w:rsidRPr="009F6E4B" w:rsidRDefault="000722D8" w:rsidP="00CB41C4">
      <w:pPr>
        <w:tabs>
          <w:tab w:val="left" w:leader="underscore" w:pos="9639"/>
        </w:tabs>
        <w:spacing w:after="0" w:line="240" w:lineRule="auto"/>
        <w:jc w:val="both"/>
        <w:rPr>
          <w:rFonts w:cs="Calibri"/>
          <w:sz w:val="20"/>
          <w:szCs w:val="20"/>
        </w:rPr>
      </w:pPr>
    </w:p>
    <w:p w14:paraId="12E280BB" w14:textId="61B6566F" w:rsidR="007D1E76" w:rsidRPr="009F6E4B" w:rsidRDefault="006F77A8" w:rsidP="000C3365">
      <w:pPr>
        <w:pStyle w:val="Ttulo2"/>
        <w:rPr>
          <w:rFonts w:asciiTheme="minorHAnsi" w:hAnsiTheme="minorHAnsi" w:cstheme="minorHAnsi"/>
          <w:b/>
          <w:color w:val="auto"/>
          <w:sz w:val="20"/>
          <w:szCs w:val="20"/>
        </w:rPr>
      </w:pPr>
      <w:bookmarkStart w:id="6" w:name="_Toc203572759"/>
      <w:r w:rsidRPr="009F6E4B">
        <w:rPr>
          <w:rFonts w:asciiTheme="minorHAnsi" w:hAnsiTheme="minorHAnsi" w:cstheme="minorHAnsi"/>
          <w:b/>
          <w:color w:val="auto"/>
          <w:sz w:val="20"/>
          <w:szCs w:val="20"/>
        </w:rPr>
        <w:t>4</w:t>
      </w:r>
      <w:r w:rsidR="007D1E76" w:rsidRPr="009F6E4B">
        <w:rPr>
          <w:rFonts w:asciiTheme="minorHAnsi" w:hAnsiTheme="minorHAnsi" w:cstheme="minorHAnsi"/>
          <w:b/>
          <w:color w:val="auto"/>
          <w:sz w:val="20"/>
          <w:szCs w:val="20"/>
        </w:rPr>
        <w:t>. Bases de Preparació</w:t>
      </w:r>
      <w:r w:rsidR="00E00323" w:rsidRPr="009F6E4B">
        <w:rPr>
          <w:rFonts w:asciiTheme="minorHAnsi" w:hAnsiTheme="minorHAnsi" w:cstheme="minorHAnsi"/>
          <w:b/>
          <w:color w:val="auto"/>
          <w:sz w:val="20"/>
          <w:szCs w:val="20"/>
        </w:rPr>
        <w:t>n de los Estados Financieros:</w:t>
      </w:r>
      <w:bookmarkEnd w:id="6"/>
    </w:p>
    <w:p w14:paraId="16713285" w14:textId="7777777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sz w:val="20"/>
          <w:szCs w:val="20"/>
        </w:rPr>
        <w:t>Se informará sobre:</w:t>
      </w:r>
    </w:p>
    <w:p w14:paraId="0FABCEB8" w14:textId="77777777" w:rsidR="007D1E76" w:rsidRPr="009F6E4B" w:rsidRDefault="007D1E76" w:rsidP="00CB41C4">
      <w:pPr>
        <w:tabs>
          <w:tab w:val="left" w:leader="underscore" w:pos="9639"/>
        </w:tabs>
        <w:spacing w:after="0" w:line="240" w:lineRule="auto"/>
        <w:jc w:val="both"/>
        <w:rPr>
          <w:rFonts w:cs="Calibri"/>
          <w:sz w:val="20"/>
          <w:szCs w:val="20"/>
        </w:rPr>
      </w:pPr>
    </w:p>
    <w:p w14:paraId="4D261760"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a) Si se ha observado la normatividad emitida por el CONAC y las disposiciones legales aplicables.</w:t>
      </w:r>
    </w:p>
    <w:p w14:paraId="5E407C7D" w14:textId="77777777" w:rsidR="007E3F3E" w:rsidRPr="009F6E4B" w:rsidRDefault="007E3F3E" w:rsidP="007E3F3E">
      <w:pPr>
        <w:spacing w:after="0"/>
        <w:jc w:val="both"/>
        <w:rPr>
          <w:rFonts w:cs="Arial"/>
          <w:sz w:val="20"/>
          <w:szCs w:val="20"/>
        </w:rPr>
      </w:pPr>
    </w:p>
    <w:p w14:paraId="6CE31243" w14:textId="7A2B366F" w:rsidR="007E3F3E" w:rsidRPr="009F6E4B" w:rsidRDefault="007E3F3E" w:rsidP="007E3F3E">
      <w:pPr>
        <w:spacing w:after="0"/>
        <w:jc w:val="both"/>
        <w:rPr>
          <w:rFonts w:cs="Arial"/>
          <w:sz w:val="20"/>
          <w:szCs w:val="20"/>
        </w:rPr>
      </w:pPr>
      <w:r w:rsidRPr="009F6E4B">
        <w:rPr>
          <w:rFonts w:cs="Arial"/>
          <w:sz w:val="20"/>
          <w:szCs w:val="20"/>
        </w:rPr>
        <w:t>El municipio ha observado el cumplimiento de las disposiciones legales emiti</w:t>
      </w:r>
      <w:r w:rsidR="000722D8" w:rsidRPr="009F6E4B">
        <w:rPr>
          <w:rFonts w:cs="Arial"/>
          <w:sz w:val="20"/>
          <w:szCs w:val="20"/>
        </w:rPr>
        <w:t xml:space="preserve">das por el CONAC, con el objeto </w:t>
      </w:r>
      <w:r w:rsidRPr="009F6E4B">
        <w:rPr>
          <w:rFonts w:cs="Arial"/>
          <w:sz w:val="20"/>
          <w:szCs w:val="20"/>
        </w:rPr>
        <w:t>de lograr la armonización contable acorde a la Ley General de Contabilidad Gubernamental.</w:t>
      </w:r>
    </w:p>
    <w:p w14:paraId="58B00679" w14:textId="77777777" w:rsidR="007D1E76" w:rsidRPr="009F6E4B" w:rsidRDefault="007D1E76" w:rsidP="00CB41C4">
      <w:pPr>
        <w:tabs>
          <w:tab w:val="left" w:leader="underscore" w:pos="9639"/>
        </w:tabs>
        <w:spacing w:after="0" w:line="240" w:lineRule="auto"/>
        <w:jc w:val="both"/>
        <w:rPr>
          <w:rFonts w:cs="Calibri"/>
          <w:sz w:val="20"/>
          <w:szCs w:val="20"/>
        </w:rPr>
      </w:pPr>
    </w:p>
    <w:p w14:paraId="73F52BD1"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F4A2B3D" w14:textId="77777777" w:rsidR="007E3F3E" w:rsidRPr="009F6E4B" w:rsidRDefault="007E3F3E" w:rsidP="007E3F3E">
      <w:pPr>
        <w:spacing w:after="0"/>
        <w:jc w:val="both"/>
        <w:rPr>
          <w:rFonts w:cs="Arial"/>
          <w:sz w:val="20"/>
          <w:szCs w:val="20"/>
        </w:rPr>
      </w:pPr>
    </w:p>
    <w:p w14:paraId="4DE9FD28" w14:textId="77777777" w:rsidR="007E3F3E" w:rsidRPr="009F6E4B" w:rsidRDefault="007E3F3E" w:rsidP="007E3F3E">
      <w:pPr>
        <w:spacing w:after="0"/>
        <w:jc w:val="both"/>
        <w:rPr>
          <w:rFonts w:cs="Arial"/>
          <w:sz w:val="20"/>
          <w:szCs w:val="20"/>
        </w:rPr>
      </w:pPr>
      <w:r w:rsidRPr="009F6E4B">
        <w:rPr>
          <w:rFonts w:cs="Arial"/>
          <w:sz w:val="20"/>
          <w:szCs w:val="20"/>
        </w:rPr>
        <w:t>La normatividad aplicada para el reconocimiento, valuación y revelación de los diferentes rubros de la información financiera y las bases de medición utilizadas para la elaboración de los estados financieros se encuentra alineada de acuerdo a las normas emitidas por el CONAC.</w:t>
      </w:r>
    </w:p>
    <w:p w14:paraId="7325CB45" w14:textId="77777777" w:rsidR="006A65AB" w:rsidRPr="009F6E4B" w:rsidRDefault="006A65AB" w:rsidP="007E3F3E">
      <w:pPr>
        <w:spacing w:after="0"/>
        <w:jc w:val="both"/>
        <w:rPr>
          <w:rFonts w:cs="Arial"/>
          <w:sz w:val="20"/>
          <w:szCs w:val="20"/>
        </w:rPr>
      </w:pPr>
    </w:p>
    <w:p w14:paraId="24A1D3E1" w14:textId="77777777" w:rsidR="007E3F3E" w:rsidRPr="009F6E4B" w:rsidRDefault="007E3F3E" w:rsidP="007E3F3E">
      <w:pPr>
        <w:spacing w:after="0"/>
        <w:jc w:val="both"/>
        <w:rPr>
          <w:rFonts w:cs="Arial"/>
          <w:sz w:val="20"/>
          <w:szCs w:val="20"/>
        </w:rPr>
      </w:pPr>
      <w:r w:rsidRPr="009F6E4B">
        <w:rPr>
          <w:rFonts w:cs="Arial"/>
          <w:sz w:val="20"/>
          <w:szCs w:val="20"/>
        </w:rPr>
        <w:t>Las bases que se tomaron para la preparación de los estados financieros del presente periodo, fueron conforme a la Normatividad emitida a la fecha por el Consejo Nacional de Armonización Contable, Constitución Política para el Estado de Guanajuato, Ley de Fiscalización Superior del Estado de Guanajuato, Ley General de Contabilidad Gubernamental, Ley Orgánica Municipal para el Estado de Guanajuato, Ley de Responsabilidades Administrativas para el Estado de Guanajuato.</w:t>
      </w:r>
    </w:p>
    <w:p w14:paraId="2DCF252C" w14:textId="77777777" w:rsidR="007D1E76" w:rsidRPr="009F6E4B" w:rsidRDefault="007D1E76" w:rsidP="00CB41C4">
      <w:pPr>
        <w:tabs>
          <w:tab w:val="left" w:leader="underscore" w:pos="9639"/>
        </w:tabs>
        <w:spacing w:after="0" w:line="240" w:lineRule="auto"/>
        <w:jc w:val="both"/>
        <w:rPr>
          <w:rFonts w:cs="Calibri"/>
          <w:sz w:val="20"/>
          <w:szCs w:val="20"/>
        </w:rPr>
      </w:pPr>
    </w:p>
    <w:p w14:paraId="7ED1C1ED" w14:textId="784B4DD1"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 xml:space="preserve">c) </w:t>
      </w:r>
      <w:r w:rsidR="00A6346D" w:rsidRPr="009F6E4B">
        <w:rPr>
          <w:rFonts w:cs="Calibri"/>
          <w:b/>
          <w:sz w:val="20"/>
          <w:szCs w:val="20"/>
        </w:rPr>
        <w:t>Postulados básicos de Contabilidad Gubernamental (PBCG)</w:t>
      </w:r>
      <w:r w:rsidRPr="009F6E4B">
        <w:rPr>
          <w:rFonts w:cs="Calibri"/>
          <w:b/>
          <w:sz w:val="20"/>
          <w:szCs w:val="20"/>
        </w:rPr>
        <w:t>.</w:t>
      </w:r>
    </w:p>
    <w:p w14:paraId="45C03266" w14:textId="77777777" w:rsidR="007E3F3E" w:rsidRPr="009F6E4B" w:rsidRDefault="007E3F3E" w:rsidP="007E3F3E">
      <w:pPr>
        <w:spacing w:after="0"/>
        <w:jc w:val="both"/>
        <w:rPr>
          <w:rFonts w:cs="Arial"/>
          <w:sz w:val="20"/>
          <w:szCs w:val="20"/>
        </w:rPr>
      </w:pPr>
    </w:p>
    <w:p w14:paraId="70569C89" w14:textId="77777777" w:rsidR="007E3F3E" w:rsidRPr="009F6E4B" w:rsidRDefault="007E3F3E" w:rsidP="007E3F3E">
      <w:pPr>
        <w:spacing w:after="0"/>
        <w:jc w:val="both"/>
        <w:rPr>
          <w:rFonts w:cs="Arial"/>
          <w:sz w:val="20"/>
          <w:szCs w:val="20"/>
        </w:rPr>
      </w:pPr>
      <w:r w:rsidRPr="009F6E4B">
        <w:rPr>
          <w:rFonts w:cs="Arial"/>
          <w:sz w:val="20"/>
          <w:szCs w:val="20"/>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CC2D59E" w14:textId="77777777" w:rsidR="007D1E76" w:rsidRPr="009F6E4B" w:rsidRDefault="007D1E76" w:rsidP="00CB41C4">
      <w:pPr>
        <w:tabs>
          <w:tab w:val="left" w:leader="underscore" w:pos="9639"/>
        </w:tabs>
        <w:spacing w:after="0" w:line="240" w:lineRule="auto"/>
        <w:jc w:val="both"/>
        <w:rPr>
          <w:rFonts w:cs="Calibri"/>
          <w:sz w:val="20"/>
          <w:szCs w:val="20"/>
        </w:rPr>
      </w:pPr>
    </w:p>
    <w:p w14:paraId="7989D893" w14:textId="6A08B59B"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b/>
          <w:sz w:val="20"/>
          <w:szCs w:val="20"/>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9F6E4B">
        <w:rPr>
          <w:rFonts w:cs="Calibri"/>
          <w:b/>
          <w:sz w:val="20"/>
          <w:szCs w:val="20"/>
        </w:rPr>
        <w:t>Marco Conceptual de Contabilidad Gubernamental (MCCG) y sus modificaciones</w:t>
      </w:r>
      <w:r w:rsidR="0043078C" w:rsidRPr="009F6E4B">
        <w:rPr>
          <w:rFonts w:cs="Calibri"/>
          <w:sz w:val="20"/>
          <w:szCs w:val="20"/>
        </w:rPr>
        <w:t>.</w:t>
      </w:r>
    </w:p>
    <w:p w14:paraId="1C1FF429" w14:textId="77777777" w:rsidR="007E3F3E" w:rsidRPr="009F6E4B" w:rsidRDefault="007E3F3E" w:rsidP="007E3F3E">
      <w:pPr>
        <w:spacing w:after="0"/>
        <w:jc w:val="both"/>
        <w:rPr>
          <w:rFonts w:cs="Arial"/>
          <w:sz w:val="20"/>
          <w:szCs w:val="20"/>
        </w:rPr>
      </w:pPr>
    </w:p>
    <w:p w14:paraId="10E68E48" w14:textId="117F8714" w:rsidR="007E3F3E" w:rsidRPr="009F6E4B" w:rsidRDefault="007E3F3E" w:rsidP="00E16610">
      <w:pPr>
        <w:spacing w:after="0"/>
        <w:jc w:val="both"/>
        <w:rPr>
          <w:rFonts w:cs="Arial"/>
          <w:sz w:val="20"/>
          <w:szCs w:val="20"/>
        </w:rPr>
      </w:pPr>
      <w:r w:rsidRPr="009F6E4B">
        <w:rPr>
          <w:rFonts w:cs="Arial"/>
          <w:sz w:val="20"/>
          <w:szCs w:val="20"/>
        </w:rPr>
        <w:t>A la fecha no se aplica normatividad supletoria. La base del devengado conforme a la Ley de Contabilidad Gubernamental, se empezó a aplicar en el año 2010.</w:t>
      </w:r>
    </w:p>
    <w:p w14:paraId="77ED1B46" w14:textId="77777777" w:rsidR="007E3F3E" w:rsidRPr="009F6E4B" w:rsidRDefault="007E3F3E" w:rsidP="00CB41C4">
      <w:pPr>
        <w:tabs>
          <w:tab w:val="left" w:leader="underscore" w:pos="9639"/>
        </w:tabs>
        <w:spacing w:after="0" w:line="240" w:lineRule="auto"/>
        <w:jc w:val="both"/>
        <w:rPr>
          <w:rFonts w:cs="Calibri"/>
          <w:b/>
          <w:sz w:val="20"/>
          <w:szCs w:val="20"/>
        </w:rPr>
      </w:pPr>
    </w:p>
    <w:p w14:paraId="084AD24A" w14:textId="4A679E5F"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 xml:space="preserve">e) Para las entidades que por primera vez estén implementando la base </w:t>
      </w:r>
      <w:r w:rsidR="0086420E" w:rsidRPr="009F6E4B">
        <w:rPr>
          <w:rFonts w:cs="Calibri"/>
          <w:b/>
          <w:sz w:val="20"/>
          <w:szCs w:val="20"/>
        </w:rPr>
        <w:t xml:space="preserve">de </w:t>
      </w:r>
      <w:r w:rsidRPr="009F6E4B">
        <w:rPr>
          <w:rFonts w:cs="Calibri"/>
          <w:b/>
          <w:sz w:val="20"/>
          <w:szCs w:val="20"/>
        </w:rPr>
        <w:t>devengado de acuerdo a la Ley de Contabilidad, deberán:</w:t>
      </w:r>
    </w:p>
    <w:p w14:paraId="39720946" w14:textId="77777777" w:rsidR="007D1E76" w:rsidRPr="009F6E4B" w:rsidRDefault="007D1E76" w:rsidP="00CB41C4">
      <w:pPr>
        <w:tabs>
          <w:tab w:val="left" w:leader="underscore" w:pos="9639"/>
        </w:tabs>
        <w:spacing w:after="0" w:line="240" w:lineRule="auto"/>
        <w:jc w:val="both"/>
        <w:rPr>
          <w:rFonts w:cs="Calibri"/>
          <w:sz w:val="20"/>
          <w:szCs w:val="20"/>
        </w:rPr>
      </w:pPr>
    </w:p>
    <w:p w14:paraId="66DA893A" w14:textId="7777777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sz w:val="20"/>
          <w:szCs w:val="20"/>
        </w:rPr>
        <w:t>*Revelar las nuevas políticas de reconocimiento:</w:t>
      </w:r>
    </w:p>
    <w:p w14:paraId="39696E5E" w14:textId="77777777" w:rsidR="006A65AB" w:rsidRPr="009F6E4B" w:rsidRDefault="006A65AB" w:rsidP="007E3F3E">
      <w:pPr>
        <w:spacing w:after="0"/>
        <w:jc w:val="both"/>
        <w:rPr>
          <w:rFonts w:eastAsia="Times New Roman" w:cs="Arial"/>
          <w:sz w:val="20"/>
          <w:szCs w:val="20"/>
        </w:rPr>
      </w:pPr>
    </w:p>
    <w:p w14:paraId="4663C1EB" w14:textId="698549B4" w:rsidR="007E3F3E" w:rsidRPr="009F6E4B" w:rsidRDefault="007E3F3E" w:rsidP="007E3F3E">
      <w:pPr>
        <w:spacing w:after="0"/>
        <w:jc w:val="both"/>
        <w:rPr>
          <w:rFonts w:cs="Calibri"/>
          <w:b/>
          <w:sz w:val="20"/>
          <w:szCs w:val="20"/>
        </w:rPr>
      </w:pPr>
      <w:r w:rsidRPr="009F6E4B">
        <w:rPr>
          <w:rFonts w:eastAsia="Times New Roman" w:cs="Arial"/>
          <w:sz w:val="20"/>
          <w:szCs w:val="20"/>
        </w:rPr>
        <w:t xml:space="preserve">Esta nota no le aplica a este municipio. </w:t>
      </w:r>
      <w:r w:rsidRPr="009F6E4B">
        <w:rPr>
          <w:rFonts w:cs="Arial"/>
          <w:sz w:val="20"/>
          <w:szCs w:val="20"/>
        </w:rPr>
        <w:t>La base del devengado conforme a la Ley de Contabilidad Gubernamental, se empezó a aplicar en el año 2010.</w:t>
      </w:r>
    </w:p>
    <w:p w14:paraId="75AC3EA1" w14:textId="77777777" w:rsidR="007D1E76" w:rsidRPr="009F6E4B" w:rsidRDefault="007D1E76" w:rsidP="00CB41C4">
      <w:pPr>
        <w:tabs>
          <w:tab w:val="left" w:leader="underscore" w:pos="9639"/>
        </w:tabs>
        <w:spacing w:after="0" w:line="240" w:lineRule="auto"/>
        <w:jc w:val="both"/>
        <w:rPr>
          <w:rFonts w:cs="Calibri"/>
          <w:sz w:val="20"/>
          <w:szCs w:val="20"/>
        </w:rPr>
      </w:pPr>
    </w:p>
    <w:p w14:paraId="6BEBABB5" w14:textId="77777777" w:rsidR="007D1E76" w:rsidRPr="009F6E4B" w:rsidRDefault="007D1E76" w:rsidP="00CB41C4">
      <w:pPr>
        <w:tabs>
          <w:tab w:val="left" w:leader="underscore" w:pos="9639"/>
        </w:tabs>
        <w:spacing w:after="0" w:line="240" w:lineRule="auto"/>
        <w:jc w:val="both"/>
        <w:rPr>
          <w:rFonts w:cs="Calibri"/>
          <w:b/>
          <w:bCs/>
          <w:sz w:val="20"/>
          <w:szCs w:val="20"/>
        </w:rPr>
      </w:pPr>
      <w:r w:rsidRPr="009F6E4B">
        <w:rPr>
          <w:rFonts w:cs="Calibri"/>
          <w:b/>
          <w:bCs/>
          <w:sz w:val="20"/>
          <w:szCs w:val="20"/>
        </w:rPr>
        <w:t>*Plan de implementación:</w:t>
      </w:r>
    </w:p>
    <w:p w14:paraId="4B273D75" w14:textId="72F717BD" w:rsidR="007D1E76" w:rsidRPr="009F6E4B" w:rsidRDefault="007D1E76" w:rsidP="00CB41C4">
      <w:pPr>
        <w:tabs>
          <w:tab w:val="left" w:leader="underscore" w:pos="9639"/>
        </w:tabs>
        <w:spacing w:after="0" w:line="240" w:lineRule="auto"/>
        <w:jc w:val="both"/>
        <w:rPr>
          <w:rFonts w:cs="Calibri"/>
          <w:sz w:val="20"/>
          <w:szCs w:val="20"/>
        </w:rPr>
      </w:pPr>
    </w:p>
    <w:p w14:paraId="0C56ACE4" w14:textId="7394978E" w:rsidR="007E3F3E" w:rsidRPr="009F6E4B" w:rsidRDefault="007E3F3E" w:rsidP="007E3F3E">
      <w:pPr>
        <w:spacing w:after="0"/>
        <w:jc w:val="both"/>
        <w:rPr>
          <w:rFonts w:cs="Calibri"/>
          <w:b/>
          <w:sz w:val="20"/>
          <w:szCs w:val="20"/>
        </w:rPr>
      </w:pPr>
      <w:r w:rsidRPr="009F6E4B">
        <w:rPr>
          <w:rFonts w:eastAsia="Times New Roman" w:cs="Arial"/>
          <w:sz w:val="20"/>
          <w:szCs w:val="20"/>
        </w:rPr>
        <w:t>Esta nota no le aplica a este municipio.</w:t>
      </w:r>
    </w:p>
    <w:p w14:paraId="3B6D9156" w14:textId="77777777" w:rsidR="007D1E76" w:rsidRPr="009F6E4B" w:rsidRDefault="007D1E76" w:rsidP="00CB41C4">
      <w:pPr>
        <w:tabs>
          <w:tab w:val="left" w:leader="underscore" w:pos="9639"/>
        </w:tabs>
        <w:spacing w:after="0" w:line="240" w:lineRule="auto"/>
        <w:jc w:val="both"/>
        <w:rPr>
          <w:rFonts w:cs="Calibri"/>
          <w:sz w:val="20"/>
          <w:szCs w:val="20"/>
        </w:rPr>
      </w:pPr>
    </w:p>
    <w:p w14:paraId="756D764B" w14:textId="77777777" w:rsidR="007D1E76" w:rsidRPr="009F6E4B" w:rsidRDefault="007D1E76" w:rsidP="00CB41C4">
      <w:pPr>
        <w:tabs>
          <w:tab w:val="left" w:leader="underscore" w:pos="9639"/>
        </w:tabs>
        <w:spacing w:after="0" w:line="240" w:lineRule="auto"/>
        <w:jc w:val="both"/>
        <w:rPr>
          <w:rFonts w:cs="Calibri"/>
          <w:b/>
          <w:bCs/>
          <w:sz w:val="20"/>
          <w:szCs w:val="20"/>
        </w:rPr>
      </w:pPr>
      <w:r w:rsidRPr="009F6E4B">
        <w:rPr>
          <w:rFonts w:cs="Calibri"/>
          <w:b/>
          <w:bCs/>
          <w:sz w:val="20"/>
          <w:szCs w:val="20"/>
        </w:rPr>
        <w:t>*Revelar los cambios en las políticas, la clasificación y medición de las mismas, así como su impacto en la información financiera:</w:t>
      </w:r>
    </w:p>
    <w:p w14:paraId="0360043A" w14:textId="26870A37" w:rsidR="007D1E76" w:rsidRPr="009F6E4B" w:rsidRDefault="007D1E76" w:rsidP="00CB41C4">
      <w:pPr>
        <w:tabs>
          <w:tab w:val="left" w:leader="underscore" w:pos="9639"/>
        </w:tabs>
        <w:spacing w:after="0" w:line="240" w:lineRule="auto"/>
        <w:jc w:val="both"/>
        <w:rPr>
          <w:rFonts w:cs="Calibri"/>
          <w:sz w:val="20"/>
          <w:szCs w:val="20"/>
        </w:rPr>
      </w:pPr>
    </w:p>
    <w:p w14:paraId="771F3335" w14:textId="77777777" w:rsidR="007E3F3E" w:rsidRPr="009F6E4B" w:rsidRDefault="007E3F3E" w:rsidP="007E3F3E">
      <w:pPr>
        <w:spacing w:after="0"/>
        <w:jc w:val="both"/>
        <w:rPr>
          <w:rFonts w:cs="Calibri"/>
          <w:b/>
          <w:sz w:val="20"/>
          <w:szCs w:val="20"/>
        </w:rPr>
      </w:pPr>
      <w:r w:rsidRPr="009F6E4B">
        <w:rPr>
          <w:rFonts w:eastAsia="Times New Roman" w:cs="Arial"/>
          <w:sz w:val="20"/>
          <w:szCs w:val="20"/>
        </w:rPr>
        <w:t>Esta nota no le aplica a este municipio.</w:t>
      </w:r>
    </w:p>
    <w:p w14:paraId="57326D16" w14:textId="77777777" w:rsidR="006F0687" w:rsidRPr="009F6E4B" w:rsidRDefault="006F0687" w:rsidP="006F0687">
      <w:pPr>
        <w:tabs>
          <w:tab w:val="left" w:leader="underscore" w:pos="9639"/>
        </w:tabs>
        <w:spacing w:after="0" w:line="240" w:lineRule="auto"/>
        <w:jc w:val="both"/>
        <w:rPr>
          <w:rFonts w:cs="Calibri"/>
          <w:sz w:val="20"/>
          <w:szCs w:val="20"/>
        </w:rPr>
      </w:pPr>
    </w:p>
    <w:p w14:paraId="71521D40" w14:textId="25A82D8F" w:rsidR="006F0687" w:rsidRPr="009F6E4B" w:rsidRDefault="006F0687" w:rsidP="006F0687">
      <w:pPr>
        <w:tabs>
          <w:tab w:val="left" w:leader="underscore" w:pos="9639"/>
        </w:tabs>
        <w:spacing w:after="0" w:line="240" w:lineRule="auto"/>
        <w:jc w:val="both"/>
        <w:rPr>
          <w:rFonts w:cs="Calibri"/>
          <w:b/>
          <w:bCs/>
          <w:sz w:val="20"/>
          <w:szCs w:val="20"/>
        </w:rPr>
      </w:pPr>
      <w:r w:rsidRPr="009F6E4B">
        <w:rPr>
          <w:rFonts w:cs="Calibri"/>
          <w:b/>
          <w:bCs/>
          <w:sz w:val="20"/>
          <w:szCs w:val="20"/>
        </w:rPr>
        <w:t>*</w:t>
      </w:r>
      <w:r w:rsidR="00D546B2" w:rsidRPr="009F6E4B">
        <w:rPr>
          <w:rFonts w:cs="Calibri"/>
          <w:b/>
          <w:bCs/>
          <w:sz w:val="20"/>
          <w:szCs w:val="20"/>
        </w:rPr>
        <w:t>Presentar los últimos estados financieros con la normatividad anteriormente utilizada con las nuevas políticas para fines de comparación en la transición a la base de devengado.</w:t>
      </w:r>
    </w:p>
    <w:p w14:paraId="158EC49E" w14:textId="77777777" w:rsidR="007D1E76" w:rsidRPr="009F6E4B" w:rsidRDefault="007D1E76" w:rsidP="00CB41C4">
      <w:pPr>
        <w:tabs>
          <w:tab w:val="left" w:leader="underscore" w:pos="9639"/>
        </w:tabs>
        <w:spacing w:after="0" w:line="240" w:lineRule="auto"/>
        <w:jc w:val="both"/>
        <w:rPr>
          <w:rFonts w:cs="Calibri"/>
          <w:sz w:val="20"/>
          <w:szCs w:val="20"/>
        </w:rPr>
      </w:pPr>
    </w:p>
    <w:p w14:paraId="271F5ADC" w14:textId="77777777" w:rsidR="007E3F3E" w:rsidRPr="009F6E4B" w:rsidRDefault="007E3F3E" w:rsidP="007E3F3E">
      <w:pPr>
        <w:spacing w:after="0"/>
        <w:jc w:val="both"/>
        <w:rPr>
          <w:rFonts w:cs="Calibri"/>
          <w:b/>
          <w:sz w:val="20"/>
          <w:szCs w:val="20"/>
        </w:rPr>
      </w:pPr>
      <w:r w:rsidRPr="009F6E4B">
        <w:rPr>
          <w:rFonts w:eastAsia="Times New Roman" w:cs="Arial"/>
          <w:sz w:val="20"/>
          <w:szCs w:val="20"/>
        </w:rPr>
        <w:t>Esta nota no le aplica a este municipio.</w:t>
      </w:r>
    </w:p>
    <w:p w14:paraId="02FC60EF" w14:textId="77777777" w:rsidR="007E3F3E" w:rsidRPr="009F6E4B" w:rsidRDefault="007E3F3E" w:rsidP="00CB41C4">
      <w:pPr>
        <w:tabs>
          <w:tab w:val="left" w:leader="underscore" w:pos="9639"/>
        </w:tabs>
        <w:spacing w:after="0" w:line="240" w:lineRule="auto"/>
        <w:jc w:val="both"/>
        <w:rPr>
          <w:rFonts w:cs="Calibri"/>
          <w:sz w:val="20"/>
          <w:szCs w:val="20"/>
        </w:rPr>
      </w:pPr>
    </w:p>
    <w:p w14:paraId="7025E7E0" w14:textId="4C87F38F" w:rsidR="007D1E76" w:rsidRPr="009F6E4B" w:rsidRDefault="007F699D" w:rsidP="000C3365">
      <w:pPr>
        <w:pStyle w:val="Ttulo2"/>
        <w:rPr>
          <w:rFonts w:cs="Calibri"/>
          <w:b/>
          <w:sz w:val="20"/>
          <w:szCs w:val="20"/>
        </w:rPr>
      </w:pPr>
      <w:bookmarkStart w:id="7" w:name="_Toc203572760"/>
      <w:r w:rsidRPr="009F6E4B">
        <w:rPr>
          <w:rFonts w:asciiTheme="minorHAnsi" w:hAnsiTheme="minorHAnsi" w:cstheme="minorHAnsi"/>
          <w:b/>
          <w:color w:val="auto"/>
          <w:sz w:val="20"/>
          <w:szCs w:val="20"/>
        </w:rPr>
        <w:t>5</w:t>
      </w:r>
      <w:r w:rsidR="007D1E76" w:rsidRPr="009F6E4B">
        <w:rPr>
          <w:rFonts w:asciiTheme="minorHAnsi" w:hAnsiTheme="minorHAnsi" w:cstheme="minorHAnsi"/>
          <w:b/>
          <w:color w:val="auto"/>
          <w:sz w:val="20"/>
          <w:szCs w:val="20"/>
        </w:rPr>
        <w:t>. Políticas de</w:t>
      </w:r>
      <w:r w:rsidR="00E00323" w:rsidRPr="009F6E4B">
        <w:rPr>
          <w:rFonts w:asciiTheme="minorHAnsi" w:hAnsiTheme="minorHAnsi" w:cstheme="minorHAnsi"/>
          <w:b/>
          <w:color w:val="auto"/>
          <w:sz w:val="20"/>
          <w:szCs w:val="20"/>
        </w:rPr>
        <w:t xml:space="preserve"> Contabilidad Significativas:</w:t>
      </w:r>
      <w:bookmarkEnd w:id="7"/>
    </w:p>
    <w:p w14:paraId="6E171C3A" w14:textId="77777777" w:rsidR="006A65AB" w:rsidRPr="009F6E4B" w:rsidRDefault="006A65AB" w:rsidP="00AF4375">
      <w:pPr>
        <w:tabs>
          <w:tab w:val="left" w:leader="underscore" w:pos="9639"/>
        </w:tabs>
        <w:spacing w:after="0" w:line="240" w:lineRule="auto"/>
        <w:jc w:val="both"/>
        <w:rPr>
          <w:rFonts w:cs="Calibri"/>
          <w:sz w:val="20"/>
          <w:szCs w:val="20"/>
        </w:rPr>
      </w:pPr>
    </w:p>
    <w:p w14:paraId="685C2AC3" w14:textId="1CBBDCEC" w:rsidR="00AF4375" w:rsidRPr="009F6E4B" w:rsidRDefault="00AF4375" w:rsidP="00AF4375">
      <w:pPr>
        <w:tabs>
          <w:tab w:val="left" w:leader="underscore" w:pos="9639"/>
        </w:tabs>
        <w:spacing w:after="0" w:line="240" w:lineRule="auto"/>
        <w:jc w:val="both"/>
        <w:rPr>
          <w:rFonts w:cs="Calibri"/>
          <w:sz w:val="20"/>
          <w:szCs w:val="20"/>
        </w:rPr>
      </w:pPr>
      <w:r w:rsidRPr="009F6E4B">
        <w:rPr>
          <w:rFonts w:cs="Calibri"/>
          <w:sz w:val="20"/>
          <w:szCs w:val="20"/>
        </w:rPr>
        <w:t xml:space="preserve">Son los principios, bases, reglas y procedimientos específicos adoptados por el ente público en la elaboración y presentación de sus estados financieros. </w:t>
      </w:r>
    </w:p>
    <w:p w14:paraId="0DFB7903" w14:textId="77777777" w:rsidR="006A65AB" w:rsidRPr="009F6E4B" w:rsidRDefault="006A65AB" w:rsidP="00AF4375">
      <w:pPr>
        <w:tabs>
          <w:tab w:val="left" w:leader="underscore" w:pos="9639"/>
        </w:tabs>
        <w:spacing w:after="0" w:line="240" w:lineRule="auto"/>
        <w:jc w:val="both"/>
        <w:rPr>
          <w:rFonts w:cs="Calibri"/>
          <w:sz w:val="20"/>
          <w:szCs w:val="20"/>
        </w:rPr>
      </w:pPr>
    </w:p>
    <w:p w14:paraId="793D8065" w14:textId="32E17174" w:rsidR="007D1E76" w:rsidRPr="009F6E4B" w:rsidRDefault="00AF4375" w:rsidP="00AF4375">
      <w:pPr>
        <w:tabs>
          <w:tab w:val="left" w:leader="underscore" w:pos="9639"/>
        </w:tabs>
        <w:spacing w:after="0" w:line="240" w:lineRule="auto"/>
        <w:jc w:val="both"/>
        <w:rPr>
          <w:rFonts w:cs="Calibri"/>
          <w:sz w:val="20"/>
          <w:szCs w:val="20"/>
        </w:rPr>
      </w:pPr>
      <w:r w:rsidRPr="009F6E4B">
        <w:rPr>
          <w:rFonts w:cs="Calibri"/>
          <w:sz w:val="20"/>
          <w:szCs w:val="20"/>
        </w:rPr>
        <w:t>El ente público seleccionará y aplicará sus políticas contables de manera congruente para transacciones, otros eventos y condiciones que sean similares.</w:t>
      </w:r>
    </w:p>
    <w:p w14:paraId="4773A4FE" w14:textId="7777777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sz w:val="20"/>
          <w:szCs w:val="20"/>
        </w:rPr>
        <w:t>Se informará sobre:</w:t>
      </w:r>
    </w:p>
    <w:p w14:paraId="3A8D7951" w14:textId="77777777" w:rsidR="007D1E76" w:rsidRPr="009F6E4B" w:rsidRDefault="007D1E76" w:rsidP="00CB41C4">
      <w:pPr>
        <w:tabs>
          <w:tab w:val="left" w:leader="underscore" w:pos="9639"/>
        </w:tabs>
        <w:spacing w:after="0" w:line="240" w:lineRule="auto"/>
        <w:jc w:val="both"/>
        <w:rPr>
          <w:rFonts w:cs="Calibri"/>
          <w:sz w:val="20"/>
          <w:szCs w:val="20"/>
        </w:rPr>
      </w:pPr>
    </w:p>
    <w:p w14:paraId="6073F87B" w14:textId="088E4F59"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 xml:space="preserve">a) </w:t>
      </w:r>
      <w:r w:rsidR="00FC1AE8" w:rsidRPr="009F6E4B">
        <w:rPr>
          <w:rFonts w:cs="Calibri"/>
          <w:b/>
          <w:sz w:val="20"/>
          <w:szCs w:val="20"/>
        </w:rPr>
        <w:t>Actualización: se informará del método utilizado para la actualización del valor de los activos, pasivos y Hacienda Pública/Patrimonio y las razones de dicha elección. Así como informar de la desconexión o reconexión inflacionaria</w:t>
      </w:r>
      <w:r w:rsidRPr="009F6E4B">
        <w:rPr>
          <w:rFonts w:cs="Calibri"/>
          <w:b/>
          <w:sz w:val="20"/>
          <w:szCs w:val="20"/>
        </w:rPr>
        <w:t>:</w:t>
      </w:r>
    </w:p>
    <w:p w14:paraId="6424AB8E" w14:textId="77777777" w:rsidR="007E3F3E" w:rsidRPr="009F6E4B" w:rsidRDefault="007E3F3E" w:rsidP="007E3F3E">
      <w:pPr>
        <w:spacing w:after="0"/>
        <w:jc w:val="both"/>
        <w:rPr>
          <w:rFonts w:eastAsia="Times New Roman" w:cs="Arial"/>
          <w:sz w:val="20"/>
          <w:szCs w:val="20"/>
        </w:rPr>
      </w:pPr>
    </w:p>
    <w:p w14:paraId="2923F96E" w14:textId="77777777" w:rsidR="007E3F3E" w:rsidRPr="009F6E4B" w:rsidRDefault="007E3F3E" w:rsidP="007E3F3E">
      <w:pPr>
        <w:spacing w:after="0"/>
        <w:jc w:val="both"/>
        <w:rPr>
          <w:rFonts w:cs="Calibri"/>
          <w:sz w:val="20"/>
          <w:szCs w:val="20"/>
        </w:rPr>
      </w:pPr>
      <w:r w:rsidRPr="009F6E4B">
        <w:rPr>
          <w:rFonts w:eastAsia="Times New Roman" w:cs="Arial"/>
          <w:sz w:val="20"/>
          <w:szCs w:val="20"/>
        </w:rPr>
        <w:t>Hasta este periodo no se han utilizado métodos de actualización para el activo, pasivo y hacienda pública.</w:t>
      </w:r>
    </w:p>
    <w:p w14:paraId="004A4D32" w14:textId="77777777" w:rsidR="007D1E76" w:rsidRPr="009F6E4B" w:rsidRDefault="007D1E76" w:rsidP="00CB41C4">
      <w:pPr>
        <w:tabs>
          <w:tab w:val="left" w:leader="underscore" w:pos="9639"/>
        </w:tabs>
        <w:spacing w:after="0" w:line="240" w:lineRule="auto"/>
        <w:jc w:val="both"/>
        <w:rPr>
          <w:rFonts w:cs="Calibri"/>
          <w:sz w:val="20"/>
          <w:szCs w:val="20"/>
        </w:rPr>
      </w:pPr>
    </w:p>
    <w:p w14:paraId="3D8017C2" w14:textId="13DA86EE"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 xml:space="preserve">b) </w:t>
      </w:r>
      <w:r w:rsidR="001C710C" w:rsidRPr="009F6E4B">
        <w:rPr>
          <w:rFonts w:cs="Calibri"/>
          <w:b/>
          <w:sz w:val="20"/>
          <w:szCs w:val="20"/>
        </w:rPr>
        <w:t>Informar sobre la realización de operaciones en el extranjero y de sus efectos en la información financiera gubernamental, considerando entre otros el importe de las variaciones cambiarias reconocidas en el resultado (ahorro o desahorro)</w:t>
      </w:r>
      <w:r w:rsidRPr="009F6E4B">
        <w:rPr>
          <w:rFonts w:cs="Calibri"/>
          <w:b/>
          <w:sz w:val="20"/>
          <w:szCs w:val="20"/>
        </w:rPr>
        <w:t>:</w:t>
      </w:r>
    </w:p>
    <w:p w14:paraId="35FCED94" w14:textId="77777777" w:rsidR="007D1E76" w:rsidRPr="009F6E4B" w:rsidRDefault="007D1E76" w:rsidP="00CB41C4">
      <w:pPr>
        <w:tabs>
          <w:tab w:val="left" w:leader="underscore" w:pos="9639"/>
        </w:tabs>
        <w:spacing w:after="0" w:line="240" w:lineRule="auto"/>
        <w:jc w:val="both"/>
        <w:rPr>
          <w:rFonts w:cs="Calibri"/>
          <w:sz w:val="20"/>
          <w:szCs w:val="20"/>
        </w:rPr>
      </w:pPr>
    </w:p>
    <w:p w14:paraId="6CFDB50C" w14:textId="77777777" w:rsidR="007E3F3E" w:rsidRPr="009F6E4B" w:rsidRDefault="007E3F3E" w:rsidP="007E3F3E">
      <w:pPr>
        <w:spacing w:after="0"/>
        <w:jc w:val="both"/>
        <w:rPr>
          <w:rFonts w:cs="Calibri"/>
          <w:sz w:val="20"/>
          <w:szCs w:val="20"/>
        </w:rPr>
      </w:pPr>
      <w:r w:rsidRPr="009F6E4B">
        <w:rPr>
          <w:rFonts w:eastAsia="Times New Roman" w:cs="Arial"/>
          <w:sz w:val="20"/>
          <w:szCs w:val="20"/>
        </w:rPr>
        <w:t>Al periodo no se han realizado operaciones en el extranjero.</w:t>
      </w:r>
    </w:p>
    <w:p w14:paraId="4FB1A46C" w14:textId="77777777" w:rsidR="007E3F3E" w:rsidRPr="009F6E4B" w:rsidRDefault="007E3F3E" w:rsidP="00CB41C4">
      <w:pPr>
        <w:tabs>
          <w:tab w:val="left" w:leader="underscore" w:pos="9639"/>
        </w:tabs>
        <w:spacing w:after="0" w:line="240" w:lineRule="auto"/>
        <w:jc w:val="both"/>
        <w:rPr>
          <w:rFonts w:cs="Calibri"/>
          <w:sz w:val="20"/>
          <w:szCs w:val="20"/>
        </w:rPr>
      </w:pPr>
    </w:p>
    <w:p w14:paraId="433324F3" w14:textId="626DBDA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 xml:space="preserve">c) </w:t>
      </w:r>
      <w:r w:rsidR="00E9132F" w:rsidRPr="009F6E4B">
        <w:rPr>
          <w:rFonts w:cs="Calibri"/>
          <w:b/>
          <w:sz w:val="20"/>
          <w:szCs w:val="20"/>
        </w:rPr>
        <w:t>Método de valuación de la inversión en acciones de Compañías subsidiarias no consolidadas y asociadas</w:t>
      </w:r>
      <w:r w:rsidRPr="009F6E4B">
        <w:rPr>
          <w:rFonts w:cs="Calibri"/>
          <w:b/>
          <w:sz w:val="20"/>
          <w:szCs w:val="20"/>
        </w:rPr>
        <w:t>:</w:t>
      </w:r>
    </w:p>
    <w:p w14:paraId="5C178A30" w14:textId="77777777" w:rsidR="007E3F3E" w:rsidRPr="009F6E4B" w:rsidRDefault="007E3F3E" w:rsidP="00CB41C4">
      <w:pPr>
        <w:tabs>
          <w:tab w:val="left" w:leader="underscore" w:pos="9639"/>
        </w:tabs>
        <w:spacing w:after="0" w:line="240" w:lineRule="auto"/>
        <w:jc w:val="both"/>
        <w:rPr>
          <w:rFonts w:cs="Calibri"/>
          <w:sz w:val="20"/>
          <w:szCs w:val="20"/>
        </w:rPr>
      </w:pPr>
    </w:p>
    <w:p w14:paraId="0E1D44F5" w14:textId="3F0E3A12" w:rsidR="007E3F3E" w:rsidRPr="009F6E4B" w:rsidRDefault="007E3F3E" w:rsidP="00CB41C4">
      <w:pPr>
        <w:tabs>
          <w:tab w:val="left" w:leader="underscore" w:pos="9639"/>
        </w:tabs>
        <w:spacing w:after="0" w:line="240" w:lineRule="auto"/>
        <w:jc w:val="both"/>
        <w:rPr>
          <w:rFonts w:eastAsia="Times New Roman" w:cs="Arial"/>
          <w:sz w:val="20"/>
          <w:szCs w:val="20"/>
        </w:rPr>
      </w:pPr>
      <w:r w:rsidRPr="009F6E4B">
        <w:rPr>
          <w:rFonts w:eastAsia="Times New Roman" w:cs="Arial"/>
          <w:sz w:val="20"/>
          <w:szCs w:val="20"/>
        </w:rPr>
        <w:t>Al periodo no se tienen inversiones en acciones de Compañías subsidiarias no consolidadas y asociadas.</w:t>
      </w:r>
    </w:p>
    <w:p w14:paraId="1FD69610" w14:textId="77777777" w:rsidR="007E3F3E" w:rsidRPr="009F6E4B" w:rsidRDefault="007E3F3E" w:rsidP="00CB41C4">
      <w:pPr>
        <w:tabs>
          <w:tab w:val="left" w:leader="underscore" w:pos="9639"/>
        </w:tabs>
        <w:spacing w:after="0" w:line="240" w:lineRule="auto"/>
        <w:jc w:val="both"/>
        <w:rPr>
          <w:rFonts w:cs="Calibri"/>
          <w:sz w:val="20"/>
          <w:szCs w:val="20"/>
        </w:rPr>
      </w:pPr>
    </w:p>
    <w:p w14:paraId="7AB12262"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d) Sistema y método de valuación de inventarios y costo de lo vendido:</w:t>
      </w:r>
    </w:p>
    <w:p w14:paraId="0B282127" w14:textId="77777777" w:rsidR="007D1E76" w:rsidRPr="009F6E4B" w:rsidRDefault="007D1E76" w:rsidP="00CB41C4">
      <w:pPr>
        <w:tabs>
          <w:tab w:val="left" w:leader="underscore" w:pos="9639"/>
        </w:tabs>
        <w:spacing w:after="0" w:line="240" w:lineRule="auto"/>
        <w:jc w:val="both"/>
        <w:rPr>
          <w:rFonts w:cs="Calibri"/>
          <w:sz w:val="20"/>
          <w:szCs w:val="20"/>
        </w:rPr>
      </w:pPr>
    </w:p>
    <w:p w14:paraId="0B4FE720" w14:textId="77777777" w:rsidR="007E3F3E" w:rsidRPr="009F6E4B" w:rsidRDefault="007E3F3E" w:rsidP="007E3F3E">
      <w:pPr>
        <w:spacing w:after="0"/>
        <w:jc w:val="both"/>
        <w:rPr>
          <w:rFonts w:cs="Calibri"/>
          <w:sz w:val="20"/>
          <w:szCs w:val="20"/>
        </w:rPr>
      </w:pPr>
      <w:r w:rsidRPr="009F6E4B">
        <w:rPr>
          <w:rFonts w:eastAsia="Times New Roman" w:cs="Arial"/>
          <w:sz w:val="20"/>
          <w:szCs w:val="20"/>
        </w:rPr>
        <w:lastRenderedPageBreak/>
        <w:t>Al periodo no se cuenta con inventario de mercancías para venta, por lo que no se tiene un método de valuación y costo de lo vendido</w:t>
      </w:r>
      <w:r w:rsidRPr="009F6E4B">
        <w:rPr>
          <w:rFonts w:ascii="Arial" w:hAnsi="Arial" w:cs="Arial"/>
          <w:sz w:val="20"/>
          <w:szCs w:val="20"/>
        </w:rPr>
        <w:t>.</w:t>
      </w:r>
    </w:p>
    <w:p w14:paraId="1B6EF8EA" w14:textId="77777777" w:rsidR="007E3F3E" w:rsidRPr="009F6E4B" w:rsidRDefault="007E3F3E" w:rsidP="00CB41C4">
      <w:pPr>
        <w:tabs>
          <w:tab w:val="left" w:leader="underscore" w:pos="9639"/>
        </w:tabs>
        <w:spacing w:after="0" w:line="240" w:lineRule="auto"/>
        <w:jc w:val="both"/>
        <w:rPr>
          <w:rFonts w:cs="Calibri"/>
          <w:sz w:val="20"/>
          <w:szCs w:val="20"/>
        </w:rPr>
      </w:pPr>
    </w:p>
    <w:p w14:paraId="1D8C904A"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e) Beneficios a empleados: revelar el cálculo de la reserva actuarial, valor presente de los ingresos esperados comparado con el valor presente de la estimación de gastos tanto de los beneficiarios actuales como futuros:</w:t>
      </w:r>
    </w:p>
    <w:p w14:paraId="6636D845" w14:textId="77777777" w:rsidR="007D1E76" w:rsidRPr="009F6E4B" w:rsidRDefault="007D1E76" w:rsidP="00CB41C4">
      <w:pPr>
        <w:tabs>
          <w:tab w:val="left" w:leader="underscore" w:pos="9639"/>
        </w:tabs>
        <w:spacing w:after="0" w:line="240" w:lineRule="auto"/>
        <w:jc w:val="both"/>
        <w:rPr>
          <w:rFonts w:cs="Calibri"/>
          <w:sz w:val="20"/>
          <w:szCs w:val="20"/>
        </w:rPr>
      </w:pPr>
    </w:p>
    <w:p w14:paraId="696D7C53" w14:textId="77777777" w:rsidR="00761960" w:rsidRPr="009F6E4B" w:rsidRDefault="00761960" w:rsidP="00761960">
      <w:pPr>
        <w:spacing w:after="0"/>
        <w:jc w:val="both"/>
        <w:rPr>
          <w:rFonts w:cs="Calibri"/>
          <w:b/>
          <w:bCs/>
          <w:sz w:val="20"/>
          <w:szCs w:val="20"/>
        </w:rPr>
      </w:pPr>
      <w:r w:rsidRPr="009F6E4B">
        <w:rPr>
          <w:rFonts w:eastAsia="Times New Roman" w:cs="Arial"/>
          <w:b/>
          <w:bCs/>
          <w:sz w:val="20"/>
          <w:szCs w:val="20"/>
        </w:rPr>
        <w:t>Al periodo no se tienen beneficios para empleados en cuestión de reserva actuarial.</w:t>
      </w:r>
    </w:p>
    <w:p w14:paraId="284767AD" w14:textId="77777777" w:rsidR="00761960" w:rsidRPr="009F6E4B" w:rsidRDefault="00761960" w:rsidP="00CB41C4">
      <w:pPr>
        <w:tabs>
          <w:tab w:val="left" w:leader="underscore" w:pos="9639"/>
        </w:tabs>
        <w:spacing w:after="0" w:line="240" w:lineRule="auto"/>
        <w:jc w:val="both"/>
        <w:rPr>
          <w:rFonts w:cs="Calibri"/>
          <w:sz w:val="20"/>
          <w:szCs w:val="20"/>
        </w:rPr>
      </w:pPr>
    </w:p>
    <w:p w14:paraId="6113C381" w14:textId="7777777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b/>
          <w:sz w:val="20"/>
          <w:szCs w:val="20"/>
        </w:rPr>
        <w:t>f)</w:t>
      </w:r>
      <w:r w:rsidRPr="009F6E4B">
        <w:rPr>
          <w:rFonts w:cs="Calibri"/>
          <w:sz w:val="20"/>
          <w:szCs w:val="20"/>
        </w:rPr>
        <w:t xml:space="preserve"> Provisiones: objetivo de su creación, monto y plazo:</w:t>
      </w:r>
    </w:p>
    <w:p w14:paraId="0AB44A38" w14:textId="77777777" w:rsidR="007D1E76" w:rsidRPr="009F6E4B" w:rsidRDefault="007D1E76" w:rsidP="00CB41C4">
      <w:pPr>
        <w:tabs>
          <w:tab w:val="left" w:leader="underscore" w:pos="9639"/>
        </w:tabs>
        <w:spacing w:after="0" w:line="240" w:lineRule="auto"/>
        <w:jc w:val="both"/>
        <w:rPr>
          <w:rFonts w:cs="Calibri"/>
          <w:sz w:val="20"/>
          <w:szCs w:val="20"/>
        </w:rPr>
      </w:pPr>
    </w:p>
    <w:p w14:paraId="2D74496A" w14:textId="77777777" w:rsidR="00761960" w:rsidRPr="009F6E4B" w:rsidRDefault="00761960" w:rsidP="00761960">
      <w:pPr>
        <w:spacing w:after="0"/>
        <w:jc w:val="both"/>
        <w:rPr>
          <w:rFonts w:cs="Calibri"/>
          <w:sz w:val="20"/>
          <w:szCs w:val="20"/>
        </w:rPr>
      </w:pPr>
      <w:r w:rsidRPr="009F6E4B">
        <w:rPr>
          <w:rFonts w:eastAsia="Times New Roman" w:cs="Arial"/>
          <w:sz w:val="20"/>
          <w:szCs w:val="20"/>
        </w:rPr>
        <w:t>Al periodo contablemente no se tienen provisiones.</w:t>
      </w:r>
    </w:p>
    <w:p w14:paraId="67BF357F" w14:textId="77777777" w:rsidR="00761960" w:rsidRPr="009F6E4B" w:rsidRDefault="00761960" w:rsidP="00CB41C4">
      <w:pPr>
        <w:tabs>
          <w:tab w:val="left" w:leader="underscore" w:pos="9639"/>
        </w:tabs>
        <w:spacing w:after="0" w:line="240" w:lineRule="auto"/>
        <w:jc w:val="both"/>
        <w:rPr>
          <w:rFonts w:cs="Calibri"/>
          <w:sz w:val="20"/>
          <w:szCs w:val="20"/>
        </w:rPr>
      </w:pPr>
    </w:p>
    <w:p w14:paraId="4190001D"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g) Reservas: objetivo de su creación, monto y plazo:</w:t>
      </w:r>
    </w:p>
    <w:p w14:paraId="48187B92" w14:textId="77777777" w:rsidR="007D1E76" w:rsidRPr="009F6E4B" w:rsidRDefault="007D1E76" w:rsidP="00CB41C4">
      <w:pPr>
        <w:tabs>
          <w:tab w:val="left" w:leader="underscore" w:pos="9639"/>
        </w:tabs>
        <w:spacing w:after="0" w:line="240" w:lineRule="auto"/>
        <w:jc w:val="both"/>
        <w:rPr>
          <w:rFonts w:cs="Calibri"/>
          <w:sz w:val="20"/>
          <w:szCs w:val="20"/>
        </w:rPr>
      </w:pPr>
    </w:p>
    <w:p w14:paraId="10680175" w14:textId="77777777" w:rsidR="00761960" w:rsidRPr="009F6E4B" w:rsidRDefault="00761960" w:rsidP="00761960">
      <w:pPr>
        <w:spacing w:after="0"/>
        <w:jc w:val="both"/>
        <w:rPr>
          <w:rFonts w:cs="Calibri"/>
          <w:sz w:val="20"/>
          <w:szCs w:val="20"/>
        </w:rPr>
      </w:pPr>
      <w:r w:rsidRPr="009F6E4B">
        <w:rPr>
          <w:rFonts w:eastAsia="Times New Roman" w:cs="Arial"/>
          <w:sz w:val="20"/>
          <w:szCs w:val="20"/>
        </w:rPr>
        <w:t>Al periodo contablemente no se tienen reservas.</w:t>
      </w:r>
    </w:p>
    <w:p w14:paraId="0AC70719" w14:textId="77777777" w:rsidR="00761960" w:rsidRPr="009F6E4B" w:rsidRDefault="00761960" w:rsidP="00CB41C4">
      <w:pPr>
        <w:tabs>
          <w:tab w:val="left" w:leader="underscore" w:pos="9639"/>
        </w:tabs>
        <w:spacing w:after="0" w:line="240" w:lineRule="auto"/>
        <w:jc w:val="both"/>
        <w:rPr>
          <w:rFonts w:cs="Calibri"/>
          <w:sz w:val="20"/>
          <w:szCs w:val="20"/>
        </w:rPr>
      </w:pPr>
    </w:p>
    <w:p w14:paraId="6E497DBB"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h) Cambios en políticas contables y corrección de errores junto con la revelación de los efectos que se tendrá en la información financiera del ente público, ya sea retrospectivos o prospectivos:</w:t>
      </w:r>
    </w:p>
    <w:p w14:paraId="2B6668A3" w14:textId="77777777" w:rsidR="007D1E76" w:rsidRPr="009F6E4B" w:rsidRDefault="007D1E76" w:rsidP="00CB41C4">
      <w:pPr>
        <w:tabs>
          <w:tab w:val="left" w:leader="underscore" w:pos="9639"/>
        </w:tabs>
        <w:spacing w:after="0" w:line="240" w:lineRule="auto"/>
        <w:jc w:val="both"/>
        <w:rPr>
          <w:rFonts w:cs="Calibri"/>
          <w:sz w:val="20"/>
          <w:szCs w:val="20"/>
        </w:rPr>
      </w:pPr>
    </w:p>
    <w:p w14:paraId="4AD60C8C" w14:textId="55ADDAA0" w:rsidR="006A65AB" w:rsidRPr="00B61F45" w:rsidRDefault="00761960" w:rsidP="00B61F45">
      <w:pPr>
        <w:spacing w:after="0"/>
        <w:jc w:val="both"/>
        <w:rPr>
          <w:rFonts w:cs="Calibri"/>
          <w:sz w:val="20"/>
          <w:szCs w:val="20"/>
        </w:rPr>
      </w:pPr>
      <w:r w:rsidRPr="009F6E4B">
        <w:rPr>
          <w:rFonts w:eastAsia="Times New Roman" w:cs="Arial"/>
          <w:sz w:val="20"/>
          <w:szCs w:val="20"/>
        </w:rPr>
        <w:t>Los cambios en políticas contables que se llevaron a cabo en este ente público para la emisión de información financiera, fueron de acuerdo la Ley General de Contabilidad Gubernamental y la Normatividad vigente emitida por el CONAC hasta el periodo que se informa.</w:t>
      </w:r>
    </w:p>
    <w:p w14:paraId="3A6A6277" w14:textId="77777777" w:rsidR="006A65AB" w:rsidRPr="009F6E4B" w:rsidRDefault="006A65AB" w:rsidP="00CB41C4">
      <w:pPr>
        <w:tabs>
          <w:tab w:val="left" w:leader="underscore" w:pos="9639"/>
        </w:tabs>
        <w:spacing w:after="0" w:line="240" w:lineRule="auto"/>
        <w:jc w:val="both"/>
        <w:rPr>
          <w:rFonts w:cs="Calibri"/>
          <w:b/>
          <w:sz w:val="20"/>
          <w:szCs w:val="20"/>
        </w:rPr>
      </w:pPr>
    </w:p>
    <w:p w14:paraId="12C8FA9A" w14:textId="10AC3B44"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i) Reclasificaciones: Se deben revelar todos aquellos movimientos entre cuentas por efectos de cambios en los tipos de operaciones:</w:t>
      </w:r>
    </w:p>
    <w:p w14:paraId="5B964C83" w14:textId="77777777" w:rsidR="00761960" w:rsidRPr="009F6E4B" w:rsidRDefault="00761960" w:rsidP="00761960">
      <w:pPr>
        <w:spacing w:after="0"/>
        <w:jc w:val="both"/>
        <w:rPr>
          <w:rFonts w:eastAsia="Times New Roman" w:cs="Arial"/>
          <w:sz w:val="20"/>
          <w:szCs w:val="20"/>
        </w:rPr>
      </w:pPr>
    </w:p>
    <w:p w14:paraId="488619BD" w14:textId="77777777" w:rsidR="00761960" w:rsidRPr="009F6E4B" w:rsidRDefault="00761960" w:rsidP="00761960">
      <w:pPr>
        <w:spacing w:after="0"/>
        <w:jc w:val="both"/>
        <w:rPr>
          <w:rFonts w:cs="Calibri"/>
          <w:sz w:val="20"/>
          <w:szCs w:val="20"/>
        </w:rPr>
      </w:pPr>
      <w:r w:rsidRPr="009F6E4B">
        <w:rPr>
          <w:rFonts w:eastAsia="Times New Roman" w:cs="Arial"/>
          <w:sz w:val="20"/>
          <w:szCs w:val="20"/>
        </w:rPr>
        <w:t>Las reclasificaciones realizadas en el periodo son reclasificaciones contables que no efectúan cambios en los tipos de operación.</w:t>
      </w:r>
    </w:p>
    <w:p w14:paraId="6E29C8B6" w14:textId="77777777" w:rsidR="007D1E76" w:rsidRPr="009F6E4B" w:rsidRDefault="007D1E76" w:rsidP="00CB41C4">
      <w:pPr>
        <w:tabs>
          <w:tab w:val="left" w:leader="underscore" w:pos="9639"/>
        </w:tabs>
        <w:spacing w:after="0" w:line="240" w:lineRule="auto"/>
        <w:jc w:val="both"/>
        <w:rPr>
          <w:rFonts w:cs="Calibri"/>
          <w:sz w:val="20"/>
          <w:szCs w:val="20"/>
        </w:rPr>
      </w:pPr>
    </w:p>
    <w:p w14:paraId="5405EF84"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j) Depuración y cancelación de saldos:</w:t>
      </w:r>
    </w:p>
    <w:p w14:paraId="051C6058" w14:textId="77777777" w:rsidR="00E00323" w:rsidRPr="009F6E4B" w:rsidRDefault="00E00323" w:rsidP="00CB41C4">
      <w:pPr>
        <w:tabs>
          <w:tab w:val="left" w:leader="underscore" w:pos="9639"/>
        </w:tabs>
        <w:spacing w:after="0" w:line="240" w:lineRule="auto"/>
        <w:jc w:val="both"/>
        <w:rPr>
          <w:rFonts w:cs="Calibri"/>
          <w:sz w:val="20"/>
          <w:szCs w:val="20"/>
        </w:rPr>
      </w:pPr>
    </w:p>
    <w:p w14:paraId="649A90E8" w14:textId="77777777" w:rsidR="00761960" w:rsidRPr="009F6E4B" w:rsidRDefault="00761960" w:rsidP="00761960">
      <w:pPr>
        <w:spacing w:after="0"/>
        <w:jc w:val="both"/>
        <w:rPr>
          <w:rFonts w:cs="Calibri"/>
          <w:sz w:val="20"/>
          <w:szCs w:val="20"/>
        </w:rPr>
      </w:pPr>
      <w:r w:rsidRPr="009F6E4B">
        <w:rPr>
          <w:rFonts w:eastAsia="Times New Roman" w:cs="Arial"/>
          <w:sz w:val="20"/>
          <w:szCs w:val="20"/>
        </w:rPr>
        <w:t>Al periodo no se han realizado depuraciones de saldos.</w:t>
      </w:r>
    </w:p>
    <w:p w14:paraId="5E18484D" w14:textId="77777777" w:rsidR="00761960" w:rsidRPr="009F6E4B" w:rsidRDefault="00761960" w:rsidP="00CB41C4">
      <w:pPr>
        <w:tabs>
          <w:tab w:val="left" w:leader="underscore" w:pos="9639"/>
        </w:tabs>
        <w:spacing w:after="0" w:line="240" w:lineRule="auto"/>
        <w:jc w:val="both"/>
        <w:rPr>
          <w:rFonts w:cs="Calibri"/>
          <w:sz w:val="20"/>
          <w:szCs w:val="20"/>
        </w:rPr>
      </w:pPr>
    </w:p>
    <w:p w14:paraId="2CA8BAC1" w14:textId="16AB8AA7" w:rsidR="007D1E76" w:rsidRPr="009F6E4B" w:rsidRDefault="003E6C64" w:rsidP="000C3365">
      <w:pPr>
        <w:pStyle w:val="Ttulo2"/>
        <w:rPr>
          <w:rFonts w:asciiTheme="minorHAnsi" w:hAnsiTheme="minorHAnsi" w:cstheme="minorHAnsi"/>
          <w:b/>
          <w:color w:val="auto"/>
          <w:sz w:val="20"/>
          <w:szCs w:val="20"/>
        </w:rPr>
      </w:pPr>
      <w:bookmarkStart w:id="8" w:name="_Toc203572761"/>
      <w:r w:rsidRPr="009F6E4B">
        <w:rPr>
          <w:rFonts w:asciiTheme="minorHAnsi" w:hAnsiTheme="minorHAnsi" w:cstheme="minorHAnsi"/>
          <w:b/>
          <w:color w:val="auto"/>
          <w:sz w:val="20"/>
          <w:szCs w:val="20"/>
        </w:rPr>
        <w:t>6</w:t>
      </w:r>
      <w:r w:rsidR="007D1E76" w:rsidRPr="009F6E4B">
        <w:rPr>
          <w:rFonts w:asciiTheme="minorHAnsi" w:hAnsiTheme="minorHAnsi" w:cstheme="minorHAnsi"/>
          <w:b/>
          <w:color w:val="auto"/>
          <w:sz w:val="20"/>
          <w:szCs w:val="20"/>
        </w:rPr>
        <w:t>. Posición en Moneda Extranjera y Pro</w:t>
      </w:r>
      <w:r w:rsidR="00E00323" w:rsidRPr="009F6E4B">
        <w:rPr>
          <w:rFonts w:asciiTheme="minorHAnsi" w:hAnsiTheme="minorHAnsi" w:cstheme="minorHAnsi"/>
          <w:b/>
          <w:color w:val="auto"/>
          <w:sz w:val="20"/>
          <w:szCs w:val="20"/>
        </w:rPr>
        <w:t>tección por Riesgo Cambiario:</w:t>
      </w:r>
      <w:bookmarkEnd w:id="8"/>
    </w:p>
    <w:p w14:paraId="60114D16" w14:textId="77777777" w:rsidR="007D1E76" w:rsidRPr="009F6E4B" w:rsidRDefault="007D1E76" w:rsidP="00CB41C4">
      <w:pPr>
        <w:tabs>
          <w:tab w:val="left" w:leader="underscore" w:pos="9639"/>
        </w:tabs>
        <w:spacing w:after="0" w:line="240" w:lineRule="auto"/>
        <w:jc w:val="both"/>
        <w:rPr>
          <w:rFonts w:cs="Calibri"/>
          <w:sz w:val="20"/>
          <w:szCs w:val="20"/>
        </w:rPr>
      </w:pPr>
    </w:p>
    <w:p w14:paraId="12C73011" w14:textId="7777777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sz w:val="20"/>
          <w:szCs w:val="20"/>
        </w:rPr>
        <w:t>Se informará sobre:</w:t>
      </w:r>
    </w:p>
    <w:p w14:paraId="7E8BC54D" w14:textId="77777777" w:rsidR="007D1E76" w:rsidRPr="009F6E4B" w:rsidRDefault="007D1E76" w:rsidP="00CB41C4">
      <w:pPr>
        <w:tabs>
          <w:tab w:val="left" w:leader="underscore" w:pos="9639"/>
        </w:tabs>
        <w:spacing w:after="0" w:line="240" w:lineRule="auto"/>
        <w:jc w:val="both"/>
        <w:rPr>
          <w:rFonts w:cs="Calibri"/>
          <w:sz w:val="20"/>
          <w:szCs w:val="20"/>
        </w:rPr>
      </w:pPr>
    </w:p>
    <w:p w14:paraId="531D25F7"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a) Activos en moneda extranjera:</w:t>
      </w:r>
    </w:p>
    <w:p w14:paraId="43F08C55" w14:textId="77777777" w:rsidR="007D1E76" w:rsidRPr="009F6E4B" w:rsidRDefault="007D1E76" w:rsidP="00CB41C4">
      <w:pPr>
        <w:tabs>
          <w:tab w:val="left" w:leader="underscore" w:pos="9639"/>
        </w:tabs>
        <w:spacing w:after="0" w:line="240" w:lineRule="auto"/>
        <w:jc w:val="both"/>
        <w:rPr>
          <w:rFonts w:cs="Calibri"/>
          <w:sz w:val="20"/>
          <w:szCs w:val="20"/>
        </w:rPr>
      </w:pPr>
    </w:p>
    <w:p w14:paraId="71CEB671" w14:textId="77777777" w:rsidR="001A004E" w:rsidRPr="009F6E4B" w:rsidRDefault="001A004E" w:rsidP="001A004E">
      <w:pPr>
        <w:spacing w:after="0"/>
        <w:jc w:val="both"/>
        <w:rPr>
          <w:rFonts w:cs="Calibri"/>
          <w:sz w:val="20"/>
          <w:szCs w:val="20"/>
        </w:rPr>
      </w:pPr>
      <w:r w:rsidRPr="009F6E4B">
        <w:rPr>
          <w:rFonts w:eastAsia="Times New Roman" w:cs="Arial"/>
          <w:sz w:val="20"/>
          <w:szCs w:val="20"/>
        </w:rPr>
        <w:lastRenderedPageBreak/>
        <w:t>No se tienen activos en Moneda Extranjera</w:t>
      </w:r>
    </w:p>
    <w:p w14:paraId="688F6192" w14:textId="77777777" w:rsidR="001A004E" w:rsidRPr="009F6E4B" w:rsidRDefault="001A004E" w:rsidP="00CB41C4">
      <w:pPr>
        <w:tabs>
          <w:tab w:val="left" w:leader="underscore" w:pos="9639"/>
        </w:tabs>
        <w:spacing w:after="0" w:line="240" w:lineRule="auto"/>
        <w:jc w:val="both"/>
        <w:rPr>
          <w:rFonts w:cs="Calibri"/>
          <w:sz w:val="20"/>
          <w:szCs w:val="20"/>
        </w:rPr>
      </w:pPr>
    </w:p>
    <w:p w14:paraId="7E447291"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b) Pasivos en moneda extranjera:</w:t>
      </w:r>
    </w:p>
    <w:p w14:paraId="54FFA38F" w14:textId="77777777" w:rsidR="007D1E76" w:rsidRPr="009F6E4B" w:rsidRDefault="007D1E76" w:rsidP="00CB41C4">
      <w:pPr>
        <w:tabs>
          <w:tab w:val="left" w:leader="underscore" w:pos="9639"/>
        </w:tabs>
        <w:spacing w:after="0" w:line="240" w:lineRule="auto"/>
        <w:jc w:val="both"/>
        <w:rPr>
          <w:rFonts w:cs="Calibri"/>
          <w:sz w:val="20"/>
          <w:szCs w:val="20"/>
        </w:rPr>
      </w:pPr>
    </w:p>
    <w:p w14:paraId="7755F01C" w14:textId="77777777" w:rsidR="001A004E" w:rsidRPr="009F6E4B" w:rsidRDefault="001A004E" w:rsidP="001A004E">
      <w:pPr>
        <w:spacing w:after="0"/>
        <w:jc w:val="both"/>
        <w:rPr>
          <w:rFonts w:cs="Calibri"/>
          <w:sz w:val="20"/>
          <w:szCs w:val="20"/>
        </w:rPr>
      </w:pPr>
      <w:r w:rsidRPr="009F6E4B">
        <w:rPr>
          <w:rFonts w:eastAsia="Times New Roman" w:cs="Arial"/>
          <w:sz w:val="20"/>
          <w:szCs w:val="20"/>
        </w:rPr>
        <w:t>No se tienen pasivos en Moneda Extranjera</w:t>
      </w:r>
    </w:p>
    <w:p w14:paraId="2494B0F8" w14:textId="77777777" w:rsidR="001A004E" w:rsidRPr="009F6E4B" w:rsidRDefault="001A004E" w:rsidP="00CB41C4">
      <w:pPr>
        <w:tabs>
          <w:tab w:val="left" w:leader="underscore" w:pos="9639"/>
        </w:tabs>
        <w:spacing w:after="0" w:line="240" w:lineRule="auto"/>
        <w:jc w:val="both"/>
        <w:rPr>
          <w:rFonts w:cs="Calibri"/>
          <w:sz w:val="20"/>
          <w:szCs w:val="20"/>
        </w:rPr>
      </w:pPr>
    </w:p>
    <w:p w14:paraId="6E3298C9"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c) Posición en moneda extranjera:</w:t>
      </w:r>
    </w:p>
    <w:p w14:paraId="273CC39D" w14:textId="77777777" w:rsidR="007D1E76" w:rsidRPr="009F6E4B" w:rsidRDefault="007D1E76" w:rsidP="00CB41C4">
      <w:pPr>
        <w:tabs>
          <w:tab w:val="left" w:leader="underscore" w:pos="9639"/>
        </w:tabs>
        <w:spacing w:after="0" w:line="240" w:lineRule="auto"/>
        <w:jc w:val="both"/>
        <w:rPr>
          <w:rFonts w:cs="Calibri"/>
          <w:sz w:val="20"/>
          <w:szCs w:val="20"/>
        </w:rPr>
      </w:pPr>
    </w:p>
    <w:p w14:paraId="6B399CCC" w14:textId="77777777" w:rsidR="001A004E" w:rsidRPr="009F6E4B" w:rsidRDefault="001A004E" w:rsidP="001A004E">
      <w:pPr>
        <w:spacing w:after="0"/>
        <w:jc w:val="both"/>
        <w:rPr>
          <w:rFonts w:cs="Calibri"/>
          <w:sz w:val="20"/>
          <w:szCs w:val="20"/>
        </w:rPr>
      </w:pPr>
      <w:r w:rsidRPr="009F6E4B">
        <w:rPr>
          <w:rFonts w:eastAsia="Times New Roman" w:cs="Arial"/>
          <w:sz w:val="20"/>
          <w:szCs w:val="20"/>
        </w:rPr>
        <w:t>No se tienen activos en Moneda Extranjera</w:t>
      </w:r>
    </w:p>
    <w:p w14:paraId="2FB26E2E" w14:textId="77777777" w:rsidR="001A004E" w:rsidRPr="009F6E4B" w:rsidRDefault="001A004E" w:rsidP="00CB41C4">
      <w:pPr>
        <w:tabs>
          <w:tab w:val="left" w:leader="underscore" w:pos="9639"/>
        </w:tabs>
        <w:spacing w:after="0" w:line="240" w:lineRule="auto"/>
        <w:jc w:val="both"/>
        <w:rPr>
          <w:rFonts w:cs="Calibri"/>
          <w:sz w:val="20"/>
          <w:szCs w:val="20"/>
        </w:rPr>
      </w:pPr>
    </w:p>
    <w:p w14:paraId="61291BC6"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d) Tipo de cambio:</w:t>
      </w:r>
    </w:p>
    <w:p w14:paraId="146CAEC1" w14:textId="77777777" w:rsidR="007D1E76" w:rsidRPr="009F6E4B" w:rsidRDefault="007D1E76" w:rsidP="00CB41C4">
      <w:pPr>
        <w:tabs>
          <w:tab w:val="left" w:leader="underscore" w:pos="9639"/>
        </w:tabs>
        <w:spacing w:after="0" w:line="240" w:lineRule="auto"/>
        <w:jc w:val="both"/>
        <w:rPr>
          <w:rFonts w:cs="Calibri"/>
          <w:sz w:val="20"/>
          <w:szCs w:val="20"/>
        </w:rPr>
      </w:pPr>
    </w:p>
    <w:p w14:paraId="5A1679F2" w14:textId="77777777" w:rsidR="001A004E" w:rsidRPr="009F6E4B" w:rsidRDefault="001A004E" w:rsidP="001A004E">
      <w:pPr>
        <w:spacing w:after="0"/>
        <w:jc w:val="both"/>
        <w:rPr>
          <w:rFonts w:cs="Calibri"/>
          <w:sz w:val="20"/>
          <w:szCs w:val="20"/>
        </w:rPr>
      </w:pPr>
      <w:r w:rsidRPr="009F6E4B">
        <w:rPr>
          <w:rFonts w:eastAsia="Times New Roman" w:cs="Arial"/>
          <w:sz w:val="20"/>
          <w:szCs w:val="20"/>
        </w:rPr>
        <w:t>No se tienen activos en Moneda Extranjera</w:t>
      </w:r>
    </w:p>
    <w:p w14:paraId="09714952" w14:textId="77777777" w:rsidR="001A004E" w:rsidRPr="009F6E4B" w:rsidRDefault="001A004E" w:rsidP="00CB41C4">
      <w:pPr>
        <w:tabs>
          <w:tab w:val="left" w:leader="underscore" w:pos="9639"/>
        </w:tabs>
        <w:spacing w:after="0" w:line="240" w:lineRule="auto"/>
        <w:jc w:val="both"/>
        <w:rPr>
          <w:rFonts w:cs="Calibri"/>
          <w:sz w:val="20"/>
          <w:szCs w:val="20"/>
        </w:rPr>
      </w:pPr>
    </w:p>
    <w:p w14:paraId="2878D6F1"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e) Equivalente en moneda nacional:</w:t>
      </w:r>
    </w:p>
    <w:p w14:paraId="63BA699C" w14:textId="77777777" w:rsidR="007D1E76" w:rsidRPr="009F6E4B" w:rsidRDefault="007D1E76" w:rsidP="00CB41C4">
      <w:pPr>
        <w:tabs>
          <w:tab w:val="left" w:leader="underscore" w:pos="9639"/>
        </w:tabs>
        <w:spacing w:after="0" w:line="240" w:lineRule="auto"/>
        <w:jc w:val="both"/>
        <w:rPr>
          <w:rFonts w:cs="Calibri"/>
          <w:sz w:val="20"/>
          <w:szCs w:val="20"/>
        </w:rPr>
      </w:pPr>
    </w:p>
    <w:p w14:paraId="4E58206C" w14:textId="77777777" w:rsidR="001A004E" w:rsidRPr="009F6E4B" w:rsidRDefault="001A004E" w:rsidP="001A004E">
      <w:pPr>
        <w:spacing w:after="0"/>
        <w:jc w:val="both"/>
        <w:rPr>
          <w:rFonts w:cs="Calibri"/>
          <w:sz w:val="20"/>
          <w:szCs w:val="20"/>
        </w:rPr>
      </w:pPr>
      <w:r w:rsidRPr="009F6E4B">
        <w:rPr>
          <w:rFonts w:eastAsia="Times New Roman" w:cs="Arial"/>
          <w:sz w:val="20"/>
          <w:szCs w:val="20"/>
        </w:rPr>
        <w:t>No se tienen activos en Moneda Extranjera</w:t>
      </w:r>
    </w:p>
    <w:p w14:paraId="63E11E66" w14:textId="77777777" w:rsidR="001A004E" w:rsidRPr="009F6E4B" w:rsidRDefault="001A004E" w:rsidP="00CB41C4">
      <w:pPr>
        <w:tabs>
          <w:tab w:val="left" w:leader="underscore" w:pos="9639"/>
        </w:tabs>
        <w:spacing w:after="0" w:line="240" w:lineRule="auto"/>
        <w:jc w:val="both"/>
        <w:rPr>
          <w:rFonts w:cs="Calibri"/>
          <w:sz w:val="20"/>
          <w:szCs w:val="20"/>
        </w:rPr>
      </w:pPr>
    </w:p>
    <w:p w14:paraId="01728175" w14:textId="62F6B4DC"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sz w:val="20"/>
          <w:szCs w:val="20"/>
        </w:rPr>
        <w:t>Lo anterior por cada tipo de moneda extranjera que se encuentre en los rubros de activo y pasivo.</w:t>
      </w:r>
    </w:p>
    <w:p w14:paraId="20DD1BAE" w14:textId="4A4A65C9"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sz w:val="20"/>
          <w:szCs w:val="20"/>
        </w:rPr>
        <w:t>Adicionalmente</w:t>
      </w:r>
      <w:r w:rsidR="00D32331" w:rsidRPr="009F6E4B">
        <w:rPr>
          <w:rFonts w:cs="Calibri"/>
          <w:sz w:val="20"/>
          <w:szCs w:val="20"/>
        </w:rPr>
        <w:t>,</w:t>
      </w:r>
      <w:r w:rsidRPr="009F6E4B">
        <w:rPr>
          <w:rFonts w:cs="Calibri"/>
          <w:sz w:val="20"/>
          <w:szCs w:val="20"/>
        </w:rPr>
        <w:t xml:space="preserve"> se informará sobre los métodos de protección de riesgo por vari</w:t>
      </w:r>
      <w:r w:rsidR="00E00323" w:rsidRPr="009F6E4B">
        <w:rPr>
          <w:rFonts w:cs="Calibri"/>
          <w:sz w:val="20"/>
          <w:szCs w:val="20"/>
        </w:rPr>
        <w:t>aciones en el tipo de cambio.</w:t>
      </w:r>
    </w:p>
    <w:p w14:paraId="5D7BA233" w14:textId="77777777" w:rsidR="007D1E76" w:rsidRPr="009F6E4B" w:rsidRDefault="007D1E76" w:rsidP="00CB41C4">
      <w:pPr>
        <w:tabs>
          <w:tab w:val="left" w:leader="underscore" w:pos="9639"/>
        </w:tabs>
        <w:spacing w:after="0" w:line="240" w:lineRule="auto"/>
        <w:jc w:val="both"/>
        <w:rPr>
          <w:rFonts w:cs="Calibri"/>
          <w:sz w:val="20"/>
          <w:szCs w:val="20"/>
        </w:rPr>
      </w:pPr>
    </w:p>
    <w:p w14:paraId="095853FE" w14:textId="75928022" w:rsidR="007D1E76" w:rsidRPr="009F6E4B" w:rsidRDefault="0064059E" w:rsidP="000C3365">
      <w:pPr>
        <w:pStyle w:val="Ttulo2"/>
        <w:rPr>
          <w:rFonts w:asciiTheme="minorHAnsi" w:hAnsiTheme="minorHAnsi" w:cstheme="minorHAnsi"/>
          <w:b/>
          <w:color w:val="auto"/>
          <w:sz w:val="20"/>
          <w:szCs w:val="20"/>
        </w:rPr>
      </w:pPr>
      <w:bookmarkStart w:id="9" w:name="_Toc203572762"/>
      <w:r w:rsidRPr="009F6E4B">
        <w:rPr>
          <w:rFonts w:asciiTheme="minorHAnsi" w:hAnsiTheme="minorHAnsi" w:cstheme="minorHAnsi"/>
          <w:b/>
          <w:color w:val="auto"/>
          <w:sz w:val="20"/>
          <w:szCs w:val="20"/>
        </w:rPr>
        <w:t>7</w:t>
      </w:r>
      <w:r w:rsidR="007D1E76" w:rsidRPr="009F6E4B">
        <w:rPr>
          <w:rFonts w:asciiTheme="minorHAnsi" w:hAnsiTheme="minorHAnsi" w:cstheme="minorHAnsi"/>
          <w:b/>
          <w:color w:val="auto"/>
          <w:sz w:val="20"/>
          <w:szCs w:val="20"/>
        </w:rPr>
        <w:t xml:space="preserve">. </w:t>
      </w:r>
      <w:r w:rsidR="00E00323" w:rsidRPr="009F6E4B">
        <w:rPr>
          <w:rFonts w:asciiTheme="minorHAnsi" w:hAnsiTheme="minorHAnsi" w:cstheme="minorHAnsi"/>
          <w:b/>
          <w:color w:val="auto"/>
          <w:sz w:val="20"/>
          <w:szCs w:val="20"/>
        </w:rPr>
        <w:t>Reporte Analítico del Activo:</w:t>
      </w:r>
      <w:bookmarkEnd w:id="9"/>
    </w:p>
    <w:p w14:paraId="1C9AE80E" w14:textId="77777777" w:rsidR="007D1E76" w:rsidRPr="009F6E4B" w:rsidRDefault="007D1E76" w:rsidP="00CB41C4">
      <w:pPr>
        <w:tabs>
          <w:tab w:val="left" w:leader="underscore" w:pos="9639"/>
        </w:tabs>
        <w:spacing w:after="0" w:line="240" w:lineRule="auto"/>
        <w:jc w:val="both"/>
        <w:rPr>
          <w:rFonts w:cs="Calibri"/>
          <w:sz w:val="20"/>
          <w:szCs w:val="20"/>
        </w:rPr>
      </w:pPr>
    </w:p>
    <w:p w14:paraId="7DC51E13" w14:textId="7777777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sz w:val="20"/>
          <w:szCs w:val="20"/>
        </w:rPr>
        <w:t>Debe mostrar la siguien</w:t>
      </w:r>
      <w:r w:rsidR="00E00323" w:rsidRPr="009F6E4B">
        <w:rPr>
          <w:rFonts w:cs="Calibri"/>
          <w:sz w:val="20"/>
          <w:szCs w:val="20"/>
        </w:rPr>
        <w:t>te información:</w:t>
      </w:r>
    </w:p>
    <w:p w14:paraId="0E1FB990" w14:textId="77777777" w:rsidR="007D1E76" w:rsidRPr="009F6E4B" w:rsidRDefault="007D1E76" w:rsidP="00CB41C4">
      <w:pPr>
        <w:tabs>
          <w:tab w:val="left" w:leader="underscore" w:pos="9639"/>
        </w:tabs>
        <w:spacing w:after="0" w:line="240" w:lineRule="auto"/>
        <w:jc w:val="both"/>
        <w:rPr>
          <w:rFonts w:cs="Calibri"/>
          <w:sz w:val="20"/>
          <w:szCs w:val="20"/>
        </w:rPr>
      </w:pPr>
    </w:p>
    <w:p w14:paraId="721E8A1F" w14:textId="09BA8E02"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 xml:space="preserve">a) </w:t>
      </w:r>
      <w:r w:rsidR="00ED7AA0" w:rsidRPr="009F6E4B">
        <w:rPr>
          <w:rFonts w:cs="Calibri"/>
          <w:b/>
          <w:sz w:val="20"/>
          <w:szCs w:val="20"/>
        </w:rPr>
        <w:t>Vida útil, porcentajes de depreciación y amortización utilizados en los diferentes tipos de activos, o el importe de las pérdidas por deterioro reconocidas</w:t>
      </w:r>
      <w:r w:rsidRPr="009F6E4B">
        <w:rPr>
          <w:rFonts w:cs="Calibri"/>
          <w:b/>
          <w:sz w:val="20"/>
          <w:szCs w:val="20"/>
        </w:rPr>
        <w:t>:</w:t>
      </w:r>
    </w:p>
    <w:p w14:paraId="0A4AD650" w14:textId="77777777" w:rsidR="0016736C" w:rsidRPr="009F6E4B" w:rsidRDefault="0016736C" w:rsidP="0016736C">
      <w:pPr>
        <w:spacing w:after="0"/>
        <w:jc w:val="both"/>
        <w:rPr>
          <w:rFonts w:eastAsia="Times New Roman" w:cs="Arial"/>
          <w:sz w:val="20"/>
          <w:szCs w:val="20"/>
        </w:rPr>
      </w:pPr>
    </w:p>
    <w:p w14:paraId="2B914A04" w14:textId="2632EA14" w:rsidR="007D1E76" w:rsidRPr="009F6E4B" w:rsidRDefault="0016736C" w:rsidP="0016736C">
      <w:pPr>
        <w:spacing w:after="0"/>
        <w:jc w:val="both"/>
        <w:rPr>
          <w:rFonts w:cs="Calibri"/>
          <w:sz w:val="20"/>
          <w:szCs w:val="20"/>
        </w:rPr>
      </w:pPr>
      <w:r w:rsidRPr="009F6E4B">
        <w:rPr>
          <w:rFonts w:eastAsia="Times New Roman" w:cs="Arial"/>
          <w:sz w:val="20"/>
          <w:szCs w:val="20"/>
        </w:rPr>
        <w:t>Esta nota se presenta en el reporte "Nota del Analítico de Activo"</w:t>
      </w:r>
    </w:p>
    <w:p w14:paraId="7C1AAB84" w14:textId="77777777" w:rsidR="0016736C" w:rsidRPr="009F6E4B" w:rsidRDefault="0016736C" w:rsidP="00CB41C4">
      <w:pPr>
        <w:tabs>
          <w:tab w:val="left" w:leader="underscore" w:pos="9639"/>
        </w:tabs>
        <w:spacing w:after="0" w:line="240" w:lineRule="auto"/>
        <w:jc w:val="both"/>
        <w:rPr>
          <w:rFonts w:cs="Calibri"/>
          <w:sz w:val="20"/>
          <w:szCs w:val="20"/>
        </w:rPr>
      </w:pPr>
    </w:p>
    <w:p w14:paraId="7FD13FA2" w14:textId="4685F103"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 xml:space="preserve">b) </w:t>
      </w:r>
      <w:r w:rsidR="00AA2768" w:rsidRPr="009F6E4B">
        <w:rPr>
          <w:rFonts w:cs="Calibri"/>
          <w:b/>
          <w:sz w:val="20"/>
          <w:szCs w:val="20"/>
        </w:rPr>
        <w:t>Cambios en el porcentaje de depreciación y amortización y en el valor de los activos ocasionado por deterioro</w:t>
      </w:r>
      <w:r w:rsidRPr="009F6E4B">
        <w:rPr>
          <w:rFonts w:cs="Calibri"/>
          <w:b/>
          <w:sz w:val="20"/>
          <w:szCs w:val="20"/>
        </w:rPr>
        <w:t>:</w:t>
      </w:r>
    </w:p>
    <w:p w14:paraId="1983354C" w14:textId="26C7412A" w:rsidR="007D1E76" w:rsidRPr="009F6E4B" w:rsidRDefault="007D1E76" w:rsidP="00CB41C4">
      <w:pPr>
        <w:tabs>
          <w:tab w:val="left" w:leader="underscore" w:pos="9639"/>
        </w:tabs>
        <w:spacing w:after="0" w:line="240" w:lineRule="auto"/>
        <w:jc w:val="both"/>
        <w:rPr>
          <w:rFonts w:cs="Calibri"/>
          <w:sz w:val="20"/>
          <w:szCs w:val="20"/>
        </w:rPr>
      </w:pPr>
    </w:p>
    <w:p w14:paraId="451BB715" w14:textId="534B7DC4" w:rsidR="0016736C" w:rsidRPr="009F6E4B" w:rsidRDefault="0016736C" w:rsidP="00CB41C4">
      <w:pPr>
        <w:tabs>
          <w:tab w:val="left" w:leader="underscore" w:pos="9639"/>
        </w:tabs>
        <w:spacing w:after="0" w:line="240" w:lineRule="auto"/>
        <w:jc w:val="both"/>
        <w:rPr>
          <w:rFonts w:cs="Calibri"/>
          <w:sz w:val="20"/>
          <w:szCs w:val="20"/>
        </w:rPr>
      </w:pPr>
      <w:r w:rsidRPr="009F6E4B">
        <w:rPr>
          <w:rFonts w:eastAsia="Times New Roman" w:cs="Arial"/>
          <w:sz w:val="20"/>
          <w:szCs w:val="20"/>
        </w:rPr>
        <w:t>Esta nota se presenta en el reporte "Nota del Analítico de Activo"</w:t>
      </w:r>
    </w:p>
    <w:p w14:paraId="59A0596F" w14:textId="77777777" w:rsidR="007D1E76" w:rsidRPr="009F6E4B" w:rsidRDefault="007D1E76" w:rsidP="00CB41C4">
      <w:pPr>
        <w:tabs>
          <w:tab w:val="left" w:leader="underscore" w:pos="9639"/>
        </w:tabs>
        <w:spacing w:after="0" w:line="240" w:lineRule="auto"/>
        <w:jc w:val="both"/>
        <w:rPr>
          <w:rFonts w:cs="Calibri"/>
          <w:sz w:val="20"/>
          <w:szCs w:val="20"/>
        </w:rPr>
      </w:pPr>
    </w:p>
    <w:p w14:paraId="7793D355"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c) Importe de los gastos capitalizados en el ejercicio, tanto financieros como de investigación y desarrollo:</w:t>
      </w:r>
    </w:p>
    <w:p w14:paraId="389FC7C1" w14:textId="77777777" w:rsidR="007D1E76" w:rsidRPr="009F6E4B" w:rsidRDefault="007D1E76" w:rsidP="00CB41C4">
      <w:pPr>
        <w:tabs>
          <w:tab w:val="left" w:leader="underscore" w:pos="9639"/>
        </w:tabs>
        <w:spacing w:after="0" w:line="240" w:lineRule="auto"/>
        <w:jc w:val="both"/>
        <w:rPr>
          <w:rFonts w:cs="Calibri"/>
          <w:sz w:val="20"/>
          <w:szCs w:val="20"/>
        </w:rPr>
      </w:pPr>
    </w:p>
    <w:p w14:paraId="6C413D16" w14:textId="596D52B4" w:rsidR="000F0656" w:rsidRPr="009F6E4B" w:rsidRDefault="000F0656" w:rsidP="000F0656">
      <w:pPr>
        <w:spacing w:after="0"/>
        <w:jc w:val="both"/>
        <w:rPr>
          <w:rFonts w:cs="Calibri"/>
          <w:b/>
          <w:sz w:val="20"/>
          <w:szCs w:val="20"/>
        </w:rPr>
      </w:pPr>
      <w:r w:rsidRPr="009F6E4B">
        <w:rPr>
          <w:rFonts w:eastAsia="Times New Roman" w:cs="Arial"/>
          <w:sz w:val="20"/>
          <w:szCs w:val="20"/>
        </w:rPr>
        <w:t xml:space="preserve">En este ejercicio no se han capitalizado gastos </w:t>
      </w:r>
      <w:r w:rsidRPr="009F6E4B">
        <w:rPr>
          <w:rFonts w:cs="Calibri"/>
          <w:sz w:val="20"/>
          <w:szCs w:val="20"/>
        </w:rPr>
        <w:t>financieros de investigación y desarrollo</w:t>
      </w:r>
      <w:r w:rsidRPr="009F6E4B">
        <w:rPr>
          <w:rFonts w:eastAsia="Times New Roman" w:cs="Arial"/>
          <w:sz w:val="20"/>
          <w:szCs w:val="20"/>
        </w:rPr>
        <w:t>.</w:t>
      </w:r>
    </w:p>
    <w:p w14:paraId="27471018" w14:textId="77777777" w:rsidR="000F0656" w:rsidRPr="009F6E4B" w:rsidRDefault="000F0656" w:rsidP="00CB41C4">
      <w:pPr>
        <w:tabs>
          <w:tab w:val="left" w:leader="underscore" w:pos="9639"/>
        </w:tabs>
        <w:spacing w:after="0" w:line="240" w:lineRule="auto"/>
        <w:jc w:val="both"/>
        <w:rPr>
          <w:rFonts w:cs="Calibri"/>
          <w:sz w:val="20"/>
          <w:szCs w:val="20"/>
        </w:rPr>
      </w:pPr>
    </w:p>
    <w:p w14:paraId="64BF173F"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d) Rie</w:t>
      </w:r>
      <w:r w:rsidR="001973A2" w:rsidRPr="009F6E4B">
        <w:rPr>
          <w:rFonts w:cs="Calibri"/>
          <w:b/>
          <w:sz w:val="20"/>
          <w:szCs w:val="20"/>
        </w:rPr>
        <w:t>s</w:t>
      </w:r>
      <w:r w:rsidRPr="009F6E4B">
        <w:rPr>
          <w:rFonts w:cs="Calibri"/>
          <w:b/>
          <w:sz w:val="20"/>
          <w:szCs w:val="20"/>
        </w:rPr>
        <w:t>gos por tipo de cambio o tipo de interés de las inversiones financieras:</w:t>
      </w:r>
    </w:p>
    <w:p w14:paraId="6C7DF781" w14:textId="77777777" w:rsidR="000F0656" w:rsidRPr="009F6E4B" w:rsidRDefault="000F0656" w:rsidP="000F0656">
      <w:pPr>
        <w:spacing w:after="0"/>
        <w:jc w:val="both"/>
        <w:rPr>
          <w:rFonts w:eastAsia="Times New Roman" w:cs="Arial"/>
          <w:sz w:val="20"/>
          <w:szCs w:val="20"/>
        </w:rPr>
      </w:pPr>
    </w:p>
    <w:p w14:paraId="77EA2442" w14:textId="77777777" w:rsidR="000F0656" w:rsidRPr="009F6E4B" w:rsidRDefault="000F0656" w:rsidP="000F0656">
      <w:pPr>
        <w:spacing w:after="0"/>
        <w:jc w:val="both"/>
        <w:rPr>
          <w:rFonts w:cs="Calibri"/>
          <w:sz w:val="20"/>
          <w:szCs w:val="20"/>
        </w:rPr>
      </w:pPr>
      <w:r w:rsidRPr="009F6E4B">
        <w:rPr>
          <w:rFonts w:eastAsia="Times New Roman" w:cs="Arial"/>
          <w:sz w:val="20"/>
          <w:szCs w:val="20"/>
        </w:rPr>
        <w:lastRenderedPageBreak/>
        <w:t xml:space="preserve">No se tienen riesgos por tipo de cambio o tipo de interés en las inversiones del municipio. </w:t>
      </w:r>
    </w:p>
    <w:p w14:paraId="378CEFB3" w14:textId="77777777" w:rsidR="000F0656" w:rsidRPr="009F6E4B" w:rsidRDefault="000F0656" w:rsidP="00CB41C4">
      <w:pPr>
        <w:tabs>
          <w:tab w:val="left" w:leader="underscore" w:pos="9639"/>
        </w:tabs>
        <w:spacing w:after="0" w:line="240" w:lineRule="auto"/>
        <w:jc w:val="both"/>
        <w:rPr>
          <w:rFonts w:cs="Calibri"/>
          <w:b/>
          <w:sz w:val="20"/>
          <w:szCs w:val="20"/>
        </w:rPr>
      </w:pPr>
    </w:p>
    <w:p w14:paraId="114D8167"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e) Valor activado en el ejercicio de los bienes construidos por la entidad:</w:t>
      </w:r>
    </w:p>
    <w:p w14:paraId="2E17CB0A" w14:textId="77777777" w:rsidR="007D1E76" w:rsidRPr="009F6E4B" w:rsidRDefault="007D1E76" w:rsidP="00CB41C4">
      <w:pPr>
        <w:tabs>
          <w:tab w:val="left" w:leader="underscore" w:pos="9639"/>
        </w:tabs>
        <w:spacing w:after="0" w:line="240" w:lineRule="auto"/>
        <w:jc w:val="both"/>
        <w:rPr>
          <w:rFonts w:cs="Calibri"/>
          <w:b/>
          <w:sz w:val="20"/>
          <w:szCs w:val="20"/>
        </w:rPr>
      </w:pPr>
    </w:p>
    <w:p w14:paraId="07FDE63B" w14:textId="77777777" w:rsidR="000F0656" w:rsidRPr="009F6E4B" w:rsidRDefault="000F0656" w:rsidP="000F0656">
      <w:pPr>
        <w:spacing w:after="0"/>
        <w:jc w:val="both"/>
        <w:rPr>
          <w:rFonts w:cs="Calibri"/>
          <w:b/>
          <w:sz w:val="20"/>
          <w:szCs w:val="20"/>
        </w:rPr>
      </w:pPr>
      <w:r w:rsidRPr="009F6E4B">
        <w:rPr>
          <w:rFonts w:eastAsia="Times New Roman" w:cs="Arial"/>
          <w:sz w:val="20"/>
          <w:szCs w:val="20"/>
        </w:rPr>
        <w:t>Esta nota no le aplica al municipio.</w:t>
      </w:r>
    </w:p>
    <w:p w14:paraId="5351E653" w14:textId="77777777" w:rsidR="000F0656" w:rsidRPr="009F6E4B" w:rsidRDefault="000F0656" w:rsidP="00CB41C4">
      <w:pPr>
        <w:tabs>
          <w:tab w:val="left" w:leader="underscore" w:pos="9639"/>
        </w:tabs>
        <w:spacing w:after="0" w:line="240" w:lineRule="auto"/>
        <w:jc w:val="both"/>
        <w:rPr>
          <w:rFonts w:cs="Calibri"/>
          <w:b/>
          <w:sz w:val="20"/>
          <w:szCs w:val="20"/>
        </w:rPr>
      </w:pPr>
    </w:p>
    <w:p w14:paraId="61D4FD0C"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9F6E4B" w:rsidRDefault="007D1E76" w:rsidP="00CB41C4">
      <w:pPr>
        <w:tabs>
          <w:tab w:val="left" w:leader="underscore" w:pos="9639"/>
        </w:tabs>
        <w:spacing w:after="0" w:line="240" w:lineRule="auto"/>
        <w:jc w:val="both"/>
        <w:rPr>
          <w:rFonts w:cs="Calibri"/>
          <w:sz w:val="20"/>
          <w:szCs w:val="20"/>
        </w:rPr>
      </w:pPr>
    </w:p>
    <w:p w14:paraId="2FDE6A17" w14:textId="77777777" w:rsidR="000F0656" w:rsidRPr="009F6E4B" w:rsidRDefault="000F0656" w:rsidP="000F0656">
      <w:pPr>
        <w:spacing w:after="0"/>
        <w:jc w:val="both"/>
        <w:rPr>
          <w:rFonts w:cs="Calibri"/>
          <w:sz w:val="20"/>
          <w:szCs w:val="20"/>
        </w:rPr>
      </w:pPr>
      <w:r w:rsidRPr="009F6E4B">
        <w:rPr>
          <w:rFonts w:eastAsia="Times New Roman" w:cs="Arial"/>
          <w:sz w:val="20"/>
          <w:szCs w:val="20"/>
        </w:rPr>
        <w:t>No se cuenta con otras circunstancias que afecten el activo del municipio.</w:t>
      </w:r>
    </w:p>
    <w:p w14:paraId="20E72A8C" w14:textId="77777777" w:rsidR="006A65AB" w:rsidRPr="009F6E4B" w:rsidRDefault="006A65AB" w:rsidP="00CB41C4">
      <w:pPr>
        <w:tabs>
          <w:tab w:val="left" w:leader="underscore" w:pos="9639"/>
        </w:tabs>
        <w:spacing w:after="0" w:line="240" w:lineRule="auto"/>
        <w:jc w:val="both"/>
        <w:rPr>
          <w:rFonts w:cs="Calibri"/>
          <w:b/>
          <w:sz w:val="20"/>
          <w:szCs w:val="20"/>
        </w:rPr>
      </w:pPr>
    </w:p>
    <w:p w14:paraId="5B1593C0" w14:textId="23377098"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g) Desmantelamiento de Activos, procedimientos, implicaciones, efectos contables:</w:t>
      </w:r>
    </w:p>
    <w:p w14:paraId="40A5560A" w14:textId="77777777" w:rsidR="000F0656" w:rsidRPr="009F6E4B" w:rsidRDefault="000F0656" w:rsidP="000F0656">
      <w:pPr>
        <w:spacing w:after="0"/>
        <w:jc w:val="both"/>
        <w:rPr>
          <w:rFonts w:eastAsia="Times New Roman" w:cs="Arial"/>
          <w:sz w:val="20"/>
          <w:szCs w:val="20"/>
        </w:rPr>
      </w:pPr>
    </w:p>
    <w:p w14:paraId="0804F12F" w14:textId="77777777" w:rsidR="000F0656" w:rsidRPr="009F6E4B" w:rsidRDefault="000F0656" w:rsidP="000F0656">
      <w:pPr>
        <w:spacing w:after="0"/>
        <w:jc w:val="both"/>
        <w:rPr>
          <w:rFonts w:cs="Calibri"/>
          <w:sz w:val="20"/>
          <w:szCs w:val="20"/>
        </w:rPr>
      </w:pPr>
      <w:r w:rsidRPr="009F6E4B">
        <w:rPr>
          <w:rFonts w:eastAsia="Times New Roman" w:cs="Arial"/>
          <w:sz w:val="20"/>
          <w:szCs w:val="20"/>
        </w:rPr>
        <w:t>En el periodo no se desmantelaron activos, con implicaciones o efectos contables propiedad del municipio.</w:t>
      </w:r>
    </w:p>
    <w:p w14:paraId="368ADB1E" w14:textId="77777777" w:rsidR="000F0656" w:rsidRPr="009F6E4B" w:rsidRDefault="000F0656" w:rsidP="00CB41C4">
      <w:pPr>
        <w:tabs>
          <w:tab w:val="left" w:leader="underscore" w:pos="9639"/>
        </w:tabs>
        <w:spacing w:after="0" w:line="240" w:lineRule="auto"/>
        <w:jc w:val="both"/>
        <w:rPr>
          <w:rFonts w:cs="Calibri"/>
          <w:b/>
          <w:sz w:val="20"/>
          <w:szCs w:val="20"/>
        </w:rPr>
      </w:pPr>
    </w:p>
    <w:p w14:paraId="6543D74F"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h) Administración de activos; planeación con el objetivo de que el ente los utilice de manera más efectiva:</w:t>
      </w:r>
    </w:p>
    <w:p w14:paraId="78C27F78" w14:textId="77777777" w:rsidR="000F0656" w:rsidRPr="009F6E4B" w:rsidRDefault="000F0656" w:rsidP="000F0656">
      <w:pPr>
        <w:spacing w:after="0"/>
        <w:jc w:val="both"/>
        <w:rPr>
          <w:rFonts w:eastAsia="Times New Roman" w:cs="Arial"/>
          <w:sz w:val="20"/>
          <w:szCs w:val="20"/>
        </w:rPr>
      </w:pPr>
    </w:p>
    <w:p w14:paraId="6B60B9BD" w14:textId="77777777" w:rsidR="000F0656" w:rsidRPr="009F6E4B" w:rsidRDefault="000F0656" w:rsidP="000F0656">
      <w:pPr>
        <w:spacing w:after="0"/>
        <w:jc w:val="both"/>
        <w:rPr>
          <w:rFonts w:eastAsia="Times New Roman" w:cs="Arial"/>
          <w:sz w:val="20"/>
          <w:szCs w:val="20"/>
        </w:rPr>
      </w:pPr>
      <w:r w:rsidRPr="009F6E4B">
        <w:rPr>
          <w:rFonts w:eastAsia="Times New Roman" w:cs="Arial"/>
          <w:sz w:val="20"/>
          <w:szCs w:val="20"/>
        </w:rPr>
        <w:t>La Coordinación de Control Patrimonial, emite los resguardos correspondientes, realiza un inventario físico de los bienes muebles propiedad del municipio una vez al año.</w:t>
      </w:r>
    </w:p>
    <w:p w14:paraId="76A7ECE1" w14:textId="0E18E047" w:rsidR="007D1E76" w:rsidRPr="009F6E4B" w:rsidRDefault="007D1E76" w:rsidP="00CB41C4">
      <w:pPr>
        <w:tabs>
          <w:tab w:val="left" w:leader="underscore" w:pos="9639"/>
        </w:tabs>
        <w:spacing w:after="0" w:line="240" w:lineRule="auto"/>
        <w:jc w:val="both"/>
        <w:rPr>
          <w:rFonts w:cs="Calibri"/>
          <w:sz w:val="20"/>
          <w:szCs w:val="20"/>
        </w:rPr>
      </w:pPr>
    </w:p>
    <w:p w14:paraId="1F344FA6" w14:textId="7777777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sz w:val="20"/>
          <w:szCs w:val="20"/>
        </w:rPr>
        <w:t>Adicionalmente, se deben incluir las explicaciones de las principales variaciones en el activo, en cua</w:t>
      </w:r>
      <w:r w:rsidR="005E231E" w:rsidRPr="009F6E4B">
        <w:rPr>
          <w:rFonts w:cs="Calibri"/>
          <w:sz w:val="20"/>
          <w:szCs w:val="20"/>
        </w:rPr>
        <w:t>dros comparativos como sigue:</w:t>
      </w:r>
    </w:p>
    <w:p w14:paraId="34E04F66" w14:textId="77777777" w:rsidR="007D1E76" w:rsidRPr="009F6E4B" w:rsidRDefault="007D1E76" w:rsidP="00CB41C4">
      <w:pPr>
        <w:tabs>
          <w:tab w:val="left" w:leader="underscore" w:pos="9639"/>
        </w:tabs>
        <w:spacing w:after="0" w:line="240" w:lineRule="auto"/>
        <w:jc w:val="both"/>
        <w:rPr>
          <w:rFonts w:cs="Calibri"/>
          <w:sz w:val="20"/>
          <w:szCs w:val="20"/>
        </w:rPr>
      </w:pPr>
    </w:p>
    <w:p w14:paraId="1C52C975"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a) Inversiones en valores:</w:t>
      </w:r>
    </w:p>
    <w:p w14:paraId="002BBDF9" w14:textId="77777777" w:rsidR="000F0656" w:rsidRPr="009F6E4B" w:rsidRDefault="000F0656" w:rsidP="000F0656">
      <w:pPr>
        <w:spacing w:after="0"/>
        <w:jc w:val="both"/>
        <w:rPr>
          <w:rFonts w:eastAsia="Times New Roman" w:cs="Arial"/>
          <w:sz w:val="20"/>
          <w:szCs w:val="20"/>
        </w:rPr>
      </w:pPr>
    </w:p>
    <w:p w14:paraId="34F6EE96" w14:textId="77777777" w:rsidR="000F0656" w:rsidRPr="009F6E4B" w:rsidRDefault="000F0656" w:rsidP="000F0656">
      <w:pPr>
        <w:spacing w:after="0"/>
        <w:jc w:val="both"/>
        <w:rPr>
          <w:rFonts w:cs="Calibri"/>
          <w:sz w:val="20"/>
          <w:szCs w:val="20"/>
        </w:rPr>
      </w:pPr>
      <w:r w:rsidRPr="009F6E4B">
        <w:rPr>
          <w:rFonts w:eastAsia="Times New Roman" w:cs="Arial"/>
          <w:sz w:val="20"/>
          <w:szCs w:val="20"/>
        </w:rPr>
        <w:t xml:space="preserve">No se tienen inversiones en valores. </w:t>
      </w:r>
    </w:p>
    <w:p w14:paraId="47FAE4D3" w14:textId="77777777" w:rsidR="007D1E76" w:rsidRPr="009F6E4B" w:rsidRDefault="007D1E76" w:rsidP="00CB41C4">
      <w:pPr>
        <w:tabs>
          <w:tab w:val="left" w:leader="underscore" w:pos="9639"/>
        </w:tabs>
        <w:spacing w:after="0" w:line="240" w:lineRule="auto"/>
        <w:jc w:val="both"/>
        <w:rPr>
          <w:rFonts w:cs="Calibri"/>
          <w:sz w:val="20"/>
          <w:szCs w:val="20"/>
        </w:rPr>
      </w:pPr>
    </w:p>
    <w:p w14:paraId="7F294F69" w14:textId="7D9621E6"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 xml:space="preserve">b) Patrimonio de Organismos </w:t>
      </w:r>
      <w:r w:rsidR="00B073DE" w:rsidRPr="009F6E4B">
        <w:rPr>
          <w:rFonts w:cs="Calibri"/>
          <w:b/>
          <w:sz w:val="20"/>
          <w:szCs w:val="20"/>
        </w:rPr>
        <w:t>D</w:t>
      </w:r>
      <w:r w:rsidRPr="009F6E4B">
        <w:rPr>
          <w:rFonts w:cs="Calibri"/>
          <w:b/>
          <w:sz w:val="20"/>
          <w:szCs w:val="20"/>
        </w:rPr>
        <w:t>escentralizados de Control Presupuestario Indirecto:</w:t>
      </w:r>
    </w:p>
    <w:p w14:paraId="2CF9F431" w14:textId="77777777" w:rsidR="000F0656" w:rsidRPr="009F6E4B" w:rsidRDefault="000F0656" w:rsidP="000F0656">
      <w:pPr>
        <w:spacing w:after="0"/>
        <w:jc w:val="both"/>
        <w:rPr>
          <w:rFonts w:eastAsia="Times New Roman" w:cs="Arial"/>
          <w:sz w:val="20"/>
          <w:szCs w:val="20"/>
        </w:rPr>
      </w:pPr>
    </w:p>
    <w:p w14:paraId="579FEAA7" w14:textId="77777777" w:rsidR="000F0656" w:rsidRPr="009F6E4B" w:rsidRDefault="000F0656" w:rsidP="000F0656">
      <w:pPr>
        <w:spacing w:after="0"/>
        <w:jc w:val="both"/>
        <w:rPr>
          <w:rFonts w:cs="Calibri"/>
          <w:sz w:val="20"/>
          <w:szCs w:val="20"/>
        </w:rPr>
      </w:pPr>
      <w:r w:rsidRPr="009F6E4B">
        <w:rPr>
          <w:rFonts w:eastAsia="Times New Roman" w:cs="Arial"/>
          <w:sz w:val="20"/>
          <w:szCs w:val="20"/>
        </w:rPr>
        <w:t>No se tiene el control presupuestario directo de patrimonio de organismos descentralizados.</w:t>
      </w:r>
    </w:p>
    <w:p w14:paraId="7F76C39C" w14:textId="77777777" w:rsidR="007D1E76" w:rsidRPr="009F6E4B" w:rsidRDefault="007D1E76" w:rsidP="00CB41C4">
      <w:pPr>
        <w:tabs>
          <w:tab w:val="left" w:leader="underscore" w:pos="9639"/>
        </w:tabs>
        <w:spacing w:after="0" w:line="240" w:lineRule="auto"/>
        <w:jc w:val="both"/>
        <w:rPr>
          <w:rFonts w:cs="Calibri"/>
          <w:sz w:val="20"/>
          <w:szCs w:val="20"/>
        </w:rPr>
      </w:pPr>
    </w:p>
    <w:p w14:paraId="0A3B41EB"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c) Inversiones en empresas de participación mayoritaria:</w:t>
      </w:r>
    </w:p>
    <w:p w14:paraId="438427FE" w14:textId="77777777" w:rsidR="000F0656" w:rsidRPr="009F6E4B" w:rsidRDefault="000F0656" w:rsidP="000F0656">
      <w:pPr>
        <w:spacing w:after="0"/>
        <w:jc w:val="both"/>
        <w:rPr>
          <w:rFonts w:eastAsia="Times New Roman" w:cs="Arial"/>
          <w:sz w:val="20"/>
          <w:szCs w:val="20"/>
        </w:rPr>
      </w:pPr>
    </w:p>
    <w:p w14:paraId="5428FD24" w14:textId="77777777" w:rsidR="000F0656" w:rsidRPr="009F6E4B" w:rsidRDefault="000F0656" w:rsidP="000F0656">
      <w:pPr>
        <w:spacing w:after="0"/>
        <w:jc w:val="both"/>
        <w:rPr>
          <w:rFonts w:cs="Calibri"/>
          <w:sz w:val="20"/>
          <w:szCs w:val="20"/>
        </w:rPr>
      </w:pPr>
      <w:r w:rsidRPr="009F6E4B">
        <w:rPr>
          <w:rFonts w:eastAsia="Times New Roman" w:cs="Arial"/>
          <w:sz w:val="20"/>
          <w:szCs w:val="20"/>
        </w:rPr>
        <w:t>No se tienen inversiones en empresas de participación mayoritaria.</w:t>
      </w:r>
    </w:p>
    <w:p w14:paraId="5F9218F7" w14:textId="77777777" w:rsidR="007D1E76" w:rsidRPr="009F6E4B" w:rsidRDefault="007D1E76" w:rsidP="00CB41C4">
      <w:pPr>
        <w:tabs>
          <w:tab w:val="left" w:leader="underscore" w:pos="9639"/>
        </w:tabs>
        <w:spacing w:after="0" w:line="240" w:lineRule="auto"/>
        <w:jc w:val="both"/>
        <w:rPr>
          <w:rFonts w:cs="Calibri"/>
          <w:sz w:val="20"/>
          <w:szCs w:val="20"/>
        </w:rPr>
      </w:pPr>
    </w:p>
    <w:p w14:paraId="02D4B80A"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d) Inversiones en empresas de participación minoritaria:</w:t>
      </w:r>
    </w:p>
    <w:p w14:paraId="54EEEB64" w14:textId="77777777" w:rsidR="000F0656" w:rsidRPr="009F6E4B" w:rsidRDefault="000F0656" w:rsidP="000F0656">
      <w:pPr>
        <w:spacing w:after="0"/>
        <w:jc w:val="both"/>
        <w:rPr>
          <w:rFonts w:eastAsia="Times New Roman" w:cs="Arial"/>
          <w:sz w:val="20"/>
          <w:szCs w:val="20"/>
        </w:rPr>
      </w:pPr>
    </w:p>
    <w:p w14:paraId="37ABCD47" w14:textId="77777777" w:rsidR="000F0656" w:rsidRPr="009F6E4B" w:rsidRDefault="000F0656" w:rsidP="000F0656">
      <w:pPr>
        <w:spacing w:after="0"/>
        <w:jc w:val="both"/>
        <w:rPr>
          <w:rFonts w:cs="Calibri"/>
          <w:sz w:val="20"/>
          <w:szCs w:val="20"/>
        </w:rPr>
      </w:pPr>
      <w:r w:rsidRPr="009F6E4B">
        <w:rPr>
          <w:rFonts w:eastAsia="Times New Roman" w:cs="Arial"/>
          <w:sz w:val="20"/>
          <w:szCs w:val="20"/>
        </w:rPr>
        <w:t>No se tienen inversiones en empresas de participación minoritaria.</w:t>
      </w:r>
    </w:p>
    <w:p w14:paraId="199F0C37" w14:textId="77777777" w:rsidR="007D1E76" w:rsidRPr="009F6E4B" w:rsidRDefault="007D1E76" w:rsidP="00CB41C4">
      <w:pPr>
        <w:tabs>
          <w:tab w:val="left" w:leader="underscore" w:pos="9639"/>
        </w:tabs>
        <w:spacing w:after="0" w:line="240" w:lineRule="auto"/>
        <w:jc w:val="both"/>
        <w:rPr>
          <w:rFonts w:cs="Calibri"/>
          <w:sz w:val="20"/>
          <w:szCs w:val="20"/>
        </w:rPr>
      </w:pPr>
    </w:p>
    <w:p w14:paraId="05A46BBB" w14:textId="01E8D72B"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 xml:space="preserve">e) Patrimonio de </w:t>
      </w:r>
      <w:r w:rsidR="006B1ADF" w:rsidRPr="009F6E4B">
        <w:rPr>
          <w:rFonts w:cs="Calibri"/>
          <w:b/>
          <w:sz w:val="20"/>
          <w:szCs w:val="20"/>
        </w:rPr>
        <w:t>O</w:t>
      </w:r>
      <w:r w:rsidRPr="009F6E4B">
        <w:rPr>
          <w:rFonts w:cs="Calibri"/>
          <w:b/>
          <w:sz w:val="20"/>
          <w:szCs w:val="20"/>
        </w:rPr>
        <w:t xml:space="preserve">rganismos </w:t>
      </w:r>
      <w:r w:rsidR="006B1ADF" w:rsidRPr="009F6E4B">
        <w:rPr>
          <w:rFonts w:cs="Calibri"/>
          <w:b/>
          <w:sz w:val="20"/>
          <w:szCs w:val="20"/>
        </w:rPr>
        <w:t>D</w:t>
      </w:r>
      <w:r w:rsidRPr="009F6E4B">
        <w:rPr>
          <w:rFonts w:cs="Calibri"/>
          <w:b/>
          <w:sz w:val="20"/>
          <w:szCs w:val="20"/>
        </w:rPr>
        <w:t xml:space="preserve">escentralizados de control </w:t>
      </w:r>
      <w:r w:rsidR="006B1ADF" w:rsidRPr="009F6E4B">
        <w:rPr>
          <w:rFonts w:cs="Calibri"/>
          <w:b/>
          <w:sz w:val="20"/>
          <w:szCs w:val="20"/>
        </w:rPr>
        <w:t>P</w:t>
      </w:r>
      <w:r w:rsidRPr="009F6E4B">
        <w:rPr>
          <w:rFonts w:cs="Calibri"/>
          <w:b/>
          <w:sz w:val="20"/>
          <w:szCs w:val="20"/>
        </w:rPr>
        <w:t xml:space="preserve">resupuestario </w:t>
      </w:r>
      <w:r w:rsidR="006B1ADF" w:rsidRPr="009F6E4B">
        <w:rPr>
          <w:rFonts w:cs="Calibri"/>
          <w:b/>
          <w:sz w:val="20"/>
          <w:szCs w:val="20"/>
        </w:rPr>
        <w:t>D</w:t>
      </w:r>
      <w:r w:rsidRPr="009F6E4B">
        <w:rPr>
          <w:rFonts w:cs="Calibri"/>
          <w:b/>
          <w:sz w:val="20"/>
          <w:szCs w:val="20"/>
        </w:rPr>
        <w:t>irecto, según corresponda:</w:t>
      </w:r>
    </w:p>
    <w:p w14:paraId="0FAB857B" w14:textId="77777777" w:rsidR="000F0656" w:rsidRPr="009F6E4B" w:rsidRDefault="000F0656" w:rsidP="000F0656">
      <w:pPr>
        <w:spacing w:after="0"/>
        <w:jc w:val="both"/>
        <w:rPr>
          <w:rFonts w:eastAsia="Times New Roman" w:cs="Arial"/>
          <w:sz w:val="20"/>
          <w:szCs w:val="20"/>
        </w:rPr>
      </w:pPr>
    </w:p>
    <w:p w14:paraId="646DCD66" w14:textId="09A917CD" w:rsidR="00E16610" w:rsidRPr="009F6E4B" w:rsidRDefault="000F0656" w:rsidP="00B61F45">
      <w:pPr>
        <w:spacing w:after="0"/>
        <w:jc w:val="both"/>
        <w:rPr>
          <w:rFonts w:cs="Calibri"/>
          <w:sz w:val="20"/>
          <w:szCs w:val="20"/>
        </w:rPr>
      </w:pPr>
      <w:r w:rsidRPr="009F6E4B">
        <w:rPr>
          <w:rFonts w:eastAsia="Times New Roman" w:cs="Arial"/>
          <w:sz w:val="20"/>
          <w:szCs w:val="20"/>
        </w:rPr>
        <w:t>No se tiene el control presupuestario directo de patrimonio de organismos descentralizados.</w:t>
      </w:r>
    </w:p>
    <w:p w14:paraId="513A1948" w14:textId="77777777" w:rsidR="006A65AB" w:rsidRPr="009F6E4B" w:rsidRDefault="006A65AB" w:rsidP="000C3365">
      <w:pPr>
        <w:pStyle w:val="Ttulo2"/>
        <w:rPr>
          <w:rFonts w:asciiTheme="minorHAnsi" w:hAnsiTheme="minorHAnsi" w:cstheme="minorHAnsi"/>
          <w:b/>
          <w:color w:val="auto"/>
          <w:sz w:val="20"/>
          <w:szCs w:val="20"/>
        </w:rPr>
      </w:pPr>
    </w:p>
    <w:p w14:paraId="2D957F4B" w14:textId="162980AD" w:rsidR="007D1E76" w:rsidRPr="009F6E4B" w:rsidRDefault="002722DD" w:rsidP="000C3365">
      <w:pPr>
        <w:pStyle w:val="Ttulo2"/>
        <w:rPr>
          <w:rFonts w:asciiTheme="minorHAnsi" w:hAnsiTheme="minorHAnsi" w:cstheme="minorHAnsi"/>
          <w:b/>
          <w:color w:val="auto"/>
          <w:sz w:val="20"/>
          <w:szCs w:val="20"/>
        </w:rPr>
      </w:pPr>
      <w:bookmarkStart w:id="10" w:name="_Toc203572763"/>
      <w:r w:rsidRPr="009F6E4B">
        <w:rPr>
          <w:rFonts w:asciiTheme="minorHAnsi" w:hAnsiTheme="minorHAnsi" w:cstheme="minorHAnsi"/>
          <w:b/>
          <w:color w:val="auto"/>
          <w:sz w:val="20"/>
          <w:szCs w:val="20"/>
        </w:rPr>
        <w:t>8</w:t>
      </w:r>
      <w:r w:rsidR="007D1E76" w:rsidRPr="009F6E4B">
        <w:rPr>
          <w:rFonts w:asciiTheme="minorHAnsi" w:hAnsiTheme="minorHAnsi" w:cstheme="minorHAnsi"/>
          <w:b/>
          <w:color w:val="auto"/>
          <w:sz w:val="20"/>
          <w:szCs w:val="20"/>
        </w:rPr>
        <w:t>. Fidei</w:t>
      </w:r>
      <w:r w:rsidR="005E231E" w:rsidRPr="009F6E4B">
        <w:rPr>
          <w:rFonts w:asciiTheme="minorHAnsi" w:hAnsiTheme="minorHAnsi" w:cstheme="minorHAnsi"/>
          <w:b/>
          <w:color w:val="auto"/>
          <w:sz w:val="20"/>
          <w:szCs w:val="20"/>
        </w:rPr>
        <w:t>comisos, Mandatos y Análogos:</w:t>
      </w:r>
      <w:bookmarkEnd w:id="10"/>
    </w:p>
    <w:p w14:paraId="5B412C86" w14:textId="77777777" w:rsidR="007D1E76" w:rsidRPr="009F6E4B" w:rsidRDefault="007D1E76" w:rsidP="00CB41C4">
      <w:pPr>
        <w:tabs>
          <w:tab w:val="left" w:leader="underscore" w:pos="9639"/>
        </w:tabs>
        <w:spacing w:after="0" w:line="240" w:lineRule="auto"/>
        <w:jc w:val="both"/>
        <w:rPr>
          <w:rFonts w:cs="Calibri"/>
          <w:sz w:val="20"/>
          <w:szCs w:val="20"/>
        </w:rPr>
      </w:pPr>
    </w:p>
    <w:p w14:paraId="6E55E712" w14:textId="7777777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sz w:val="20"/>
          <w:szCs w:val="20"/>
        </w:rPr>
        <w:t>Se deberá informar:</w:t>
      </w:r>
    </w:p>
    <w:p w14:paraId="708E87EF" w14:textId="77777777" w:rsidR="007D1E76" w:rsidRPr="009F6E4B" w:rsidRDefault="007D1E76" w:rsidP="00CB41C4">
      <w:pPr>
        <w:tabs>
          <w:tab w:val="left" w:leader="underscore" w:pos="9639"/>
        </w:tabs>
        <w:spacing w:after="0" w:line="240" w:lineRule="auto"/>
        <w:jc w:val="both"/>
        <w:rPr>
          <w:rFonts w:cs="Calibri"/>
          <w:sz w:val="20"/>
          <w:szCs w:val="20"/>
        </w:rPr>
      </w:pPr>
    </w:p>
    <w:p w14:paraId="2701D955"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a) Por ramo administrativo que los reporta:</w:t>
      </w:r>
    </w:p>
    <w:p w14:paraId="7D5069C6" w14:textId="77777777" w:rsidR="000F0656" w:rsidRPr="009F6E4B" w:rsidRDefault="000F0656" w:rsidP="000F0656">
      <w:pPr>
        <w:spacing w:after="0"/>
        <w:jc w:val="both"/>
        <w:rPr>
          <w:rFonts w:eastAsia="Times New Roman" w:cs="Arial"/>
          <w:sz w:val="20"/>
          <w:szCs w:val="20"/>
        </w:rPr>
      </w:pPr>
    </w:p>
    <w:p w14:paraId="4093B340" w14:textId="77777777" w:rsidR="000F0656" w:rsidRPr="009F6E4B" w:rsidRDefault="000F0656" w:rsidP="000F0656">
      <w:pPr>
        <w:spacing w:after="0"/>
        <w:jc w:val="both"/>
        <w:rPr>
          <w:rFonts w:cs="Calibri"/>
          <w:sz w:val="20"/>
          <w:szCs w:val="20"/>
        </w:rPr>
      </w:pPr>
      <w:r w:rsidRPr="009F6E4B">
        <w:rPr>
          <w:rFonts w:eastAsia="Times New Roman" w:cs="Arial"/>
          <w:sz w:val="20"/>
          <w:szCs w:val="20"/>
        </w:rPr>
        <w:t>Al periodo no se tienen Fideicomisos, mandatos y otros análogos.</w:t>
      </w:r>
    </w:p>
    <w:p w14:paraId="2010752E" w14:textId="77777777" w:rsidR="007D1E76" w:rsidRPr="009F6E4B" w:rsidRDefault="007D1E76" w:rsidP="00CB41C4">
      <w:pPr>
        <w:tabs>
          <w:tab w:val="left" w:leader="underscore" w:pos="9639"/>
        </w:tabs>
        <w:spacing w:after="0" w:line="240" w:lineRule="auto"/>
        <w:jc w:val="both"/>
        <w:rPr>
          <w:rFonts w:cs="Calibri"/>
          <w:sz w:val="20"/>
          <w:szCs w:val="20"/>
        </w:rPr>
      </w:pPr>
    </w:p>
    <w:p w14:paraId="326C2254"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b) Enlistar los de mayor monto de disponibilidad, relacionando aquéllos que conforman el 80% de las disponibilidades:</w:t>
      </w:r>
    </w:p>
    <w:p w14:paraId="3F999531" w14:textId="77777777" w:rsidR="000F0656" w:rsidRPr="009F6E4B" w:rsidRDefault="000F0656" w:rsidP="000F0656">
      <w:pPr>
        <w:spacing w:after="0"/>
        <w:jc w:val="both"/>
        <w:rPr>
          <w:rFonts w:eastAsia="Times New Roman" w:cs="Arial"/>
          <w:sz w:val="20"/>
          <w:szCs w:val="20"/>
        </w:rPr>
      </w:pPr>
    </w:p>
    <w:p w14:paraId="684BD0E3" w14:textId="77777777" w:rsidR="000F0656" w:rsidRPr="009F6E4B" w:rsidRDefault="000F0656" w:rsidP="000F0656">
      <w:pPr>
        <w:spacing w:after="0"/>
        <w:jc w:val="both"/>
        <w:rPr>
          <w:rFonts w:eastAsia="Times New Roman" w:cs="Arial"/>
          <w:sz w:val="20"/>
          <w:szCs w:val="20"/>
        </w:rPr>
      </w:pPr>
      <w:r w:rsidRPr="009F6E4B">
        <w:rPr>
          <w:rFonts w:eastAsia="Times New Roman" w:cs="Arial"/>
          <w:sz w:val="20"/>
          <w:szCs w:val="20"/>
        </w:rPr>
        <w:t>Al periodo no se tienen Fideicomisos, mandatos y otros análogos.</w:t>
      </w:r>
    </w:p>
    <w:p w14:paraId="5AE57259" w14:textId="77777777" w:rsidR="007D1E76" w:rsidRPr="009F6E4B" w:rsidRDefault="007D1E76" w:rsidP="00CB41C4">
      <w:pPr>
        <w:tabs>
          <w:tab w:val="left" w:leader="underscore" w:pos="9639"/>
        </w:tabs>
        <w:spacing w:after="0" w:line="240" w:lineRule="auto"/>
        <w:jc w:val="both"/>
        <w:rPr>
          <w:rFonts w:cs="Calibri"/>
          <w:sz w:val="20"/>
          <w:szCs w:val="20"/>
        </w:rPr>
      </w:pPr>
    </w:p>
    <w:p w14:paraId="2F60B1C6" w14:textId="47BAD216" w:rsidR="007D1E76" w:rsidRPr="009F6E4B" w:rsidRDefault="002722DD" w:rsidP="000C3365">
      <w:pPr>
        <w:pStyle w:val="Ttulo2"/>
        <w:rPr>
          <w:rFonts w:asciiTheme="minorHAnsi" w:hAnsiTheme="minorHAnsi" w:cstheme="minorHAnsi"/>
          <w:b/>
          <w:color w:val="auto"/>
          <w:sz w:val="20"/>
          <w:szCs w:val="20"/>
        </w:rPr>
      </w:pPr>
      <w:bookmarkStart w:id="11" w:name="_Toc203572764"/>
      <w:r w:rsidRPr="009F6E4B">
        <w:rPr>
          <w:rFonts w:asciiTheme="minorHAnsi" w:hAnsiTheme="minorHAnsi" w:cstheme="minorHAnsi"/>
          <w:b/>
          <w:color w:val="auto"/>
          <w:sz w:val="20"/>
          <w:szCs w:val="20"/>
        </w:rPr>
        <w:t>9</w:t>
      </w:r>
      <w:r w:rsidR="007D1E76" w:rsidRPr="009F6E4B">
        <w:rPr>
          <w:rFonts w:asciiTheme="minorHAnsi" w:hAnsiTheme="minorHAnsi" w:cstheme="minorHAnsi"/>
          <w:b/>
          <w:color w:val="auto"/>
          <w:sz w:val="20"/>
          <w:szCs w:val="20"/>
        </w:rPr>
        <w:t>. Reporte de la Recaudación:</w:t>
      </w:r>
      <w:bookmarkEnd w:id="11"/>
    </w:p>
    <w:p w14:paraId="2B90D2EC" w14:textId="77777777" w:rsidR="007D1E76" w:rsidRPr="009F6E4B" w:rsidRDefault="007D1E76" w:rsidP="00CB41C4">
      <w:pPr>
        <w:tabs>
          <w:tab w:val="left" w:leader="underscore" w:pos="9639"/>
        </w:tabs>
        <w:spacing w:after="0" w:line="240" w:lineRule="auto"/>
        <w:jc w:val="both"/>
        <w:rPr>
          <w:rFonts w:cs="Calibri"/>
          <w:sz w:val="20"/>
          <w:szCs w:val="20"/>
        </w:rPr>
      </w:pPr>
    </w:p>
    <w:p w14:paraId="3F6257DB" w14:textId="00518F1A" w:rsidR="001E1EDE" w:rsidRDefault="007D1E76" w:rsidP="00BB7FDF">
      <w:pPr>
        <w:pStyle w:val="Prrafodelista"/>
        <w:numPr>
          <w:ilvl w:val="0"/>
          <w:numId w:val="2"/>
        </w:numPr>
        <w:tabs>
          <w:tab w:val="left" w:leader="underscore" w:pos="9639"/>
        </w:tabs>
        <w:spacing w:after="0" w:line="240" w:lineRule="auto"/>
        <w:jc w:val="both"/>
        <w:rPr>
          <w:rFonts w:cs="Calibri"/>
          <w:sz w:val="20"/>
          <w:szCs w:val="20"/>
        </w:rPr>
      </w:pPr>
      <w:r w:rsidRPr="009F6E4B">
        <w:rPr>
          <w:rFonts w:cs="Calibri"/>
          <w:sz w:val="20"/>
          <w:szCs w:val="20"/>
        </w:rPr>
        <w:t>Análisis del comportamiento de la recaudación correspondiente al ente público o cualquier tipo de ingreso, de forma separada los ingresos locales de los federales:</w:t>
      </w:r>
    </w:p>
    <w:p w14:paraId="7B1B191F" w14:textId="77777777" w:rsidR="00D06A73" w:rsidRPr="009F6E4B" w:rsidRDefault="00D06A73" w:rsidP="00D06A73">
      <w:pPr>
        <w:pStyle w:val="Prrafodelista"/>
        <w:tabs>
          <w:tab w:val="left" w:leader="underscore" w:pos="9639"/>
        </w:tabs>
        <w:spacing w:after="0" w:line="240" w:lineRule="auto"/>
        <w:jc w:val="both"/>
        <w:rPr>
          <w:rFonts w:cs="Calibri"/>
          <w:sz w:val="20"/>
          <w:szCs w:val="20"/>
        </w:rPr>
      </w:pPr>
    </w:p>
    <w:tbl>
      <w:tblPr>
        <w:tblW w:w="4455" w:type="dxa"/>
        <w:jc w:val="center"/>
        <w:tblCellMar>
          <w:left w:w="70" w:type="dxa"/>
          <w:right w:w="70" w:type="dxa"/>
        </w:tblCellMar>
        <w:tblLook w:val="04A0" w:firstRow="1" w:lastRow="0" w:firstColumn="1" w:lastColumn="0" w:noHBand="0" w:noVBand="1"/>
      </w:tblPr>
      <w:tblGrid>
        <w:gridCol w:w="2468"/>
        <w:gridCol w:w="1987"/>
      </w:tblGrid>
      <w:tr w:rsidR="00D06A73" w:rsidRPr="00D06A73" w14:paraId="76995C44" w14:textId="77777777" w:rsidTr="00D06A73">
        <w:trPr>
          <w:trHeight w:val="232"/>
          <w:jc w:val="center"/>
        </w:trPr>
        <w:tc>
          <w:tcPr>
            <w:tcW w:w="4455" w:type="dxa"/>
            <w:gridSpan w:val="2"/>
            <w:tcBorders>
              <w:top w:val="single" w:sz="4" w:space="0" w:color="auto"/>
              <w:left w:val="single" w:sz="4" w:space="0" w:color="auto"/>
              <w:bottom w:val="single" w:sz="4" w:space="0" w:color="auto"/>
              <w:right w:val="single" w:sz="4" w:space="0" w:color="auto"/>
            </w:tcBorders>
            <w:shd w:val="clear" w:color="000000" w:fill="3A7B98"/>
            <w:vAlign w:val="center"/>
            <w:hideMark/>
          </w:tcPr>
          <w:p w14:paraId="4930F7A5" w14:textId="77777777" w:rsidR="00D06A73" w:rsidRPr="00D06A73" w:rsidRDefault="00D06A73" w:rsidP="00D06A73">
            <w:pPr>
              <w:spacing w:after="0" w:line="240" w:lineRule="auto"/>
              <w:jc w:val="center"/>
              <w:rPr>
                <w:rFonts w:asciiTheme="minorHAnsi" w:eastAsia="Times New Roman" w:hAnsiTheme="minorHAnsi" w:cstheme="minorHAnsi"/>
                <w:b/>
                <w:bCs/>
                <w:color w:val="FFFFFF"/>
                <w:sz w:val="16"/>
                <w:szCs w:val="16"/>
                <w:lang w:eastAsia="es-MX"/>
              </w:rPr>
            </w:pPr>
            <w:r w:rsidRPr="00D06A73">
              <w:rPr>
                <w:rFonts w:asciiTheme="minorHAnsi" w:eastAsia="Times New Roman" w:hAnsiTheme="minorHAnsi" w:cstheme="minorHAnsi"/>
                <w:b/>
                <w:bCs/>
                <w:color w:val="FFFFFF"/>
                <w:sz w:val="16"/>
                <w:szCs w:val="16"/>
                <w:lang w:eastAsia="es-MX"/>
              </w:rPr>
              <w:t>REPORTE DE RECAUDACIÓN</w:t>
            </w:r>
          </w:p>
        </w:tc>
      </w:tr>
      <w:tr w:rsidR="00D06A73" w:rsidRPr="00D06A73" w14:paraId="0D3E29D3" w14:textId="77777777" w:rsidTr="00D06A73">
        <w:trPr>
          <w:trHeight w:val="232"/>
          <w:jc w:val="center"/>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7475890C" w14:textId="77777777" w:rsidR="00D06A73" w:rsidRPr="00D06A73" w:rsidRDefault="00D06A73" w:rsidP="00D06A73">
            <w:pPr>
              <w:spacing w:after="0" w:line="240" w:lineRule="auto"/>
              <w:rPr>
                <w:rFonts w:asciiTheme="minorHAnsi" w:eastAsia="Times New Roman" w:hAnsiTheme="minorHAnsi" w:cstheme="minorHAnsi"/>
                <w:color w:val="000000"/>
                <w:sz w:val="16"/>
                <w:szCs w:val="16"/>
                <w:lang w:eastAsia="es-MX"/>
              </w:rPr>
            </w:pPr>
            <w:r w:rsidRPr="00D06A73">
              <w:rPr>
                <w:rFonts w:asciiTheme="minorHAnsi" w:eastAsia="Times New Roman" w:hAnsiTheme="minorHAnsi" w:cstheme="minorHAnsi"/>
                <w:color w:val="000000"/>
                <w:sz w:val="16"/>
                <w:szCs w:val="16"/>
                <w:lang w:eastAsia="es-MX"/>
              </w:rPr>
              <w:t>IMPUESTOS</w:t>
            </w:r>
          </w:p>
        </w:tc>
        <w:tc>
          <w:tcPr>
            <w:tcW w:w="1987" w:type="dxa"/>
            <w:tcBorders>
              <w:top w:val="nil"/>
              <w:left w:val="nil"/>
              <w:bottom w:val="single" w:sz="4" w:space="0" w:color="auto"/>
              <w:right w:val="single" w:sz="4" w:space="0" w:color="auto"/>
            </w:tcBorders>
            <w:shd w:val="clear" w:color="auto" w:fill="auto"/>
            <w:noWrap/>
            <w:vAlign w:val="bottom"/>
            <w:hideMark/>
          </w:tcPr>
          <w:p w14:paraId="5C17845F" w14:textId="77777777" w:rsidR="00D06A73" w:rsidRPr="00D06A73" w:rsidRDefault="00D06A73" w:rsidP="00D06A73">
            <w:pPr>
              <w:spacing w:after="0" w:line="240" w:lineRule="auto"/>
              <w:jc w:val="right"/>
              <w:rPr>
                <w:rFonts w:asciiTheme="minorHAnsi" w:eastAsia="Times New Roman" w:hAnsiTheme="minorHAnsi" w:cstheme="minorHAnsi"/>
                <w:sz w:val="16"/>
                <w:szCs w:val="16"/>
                <w:lang w:eastAsia="es-MX"/>
              </w:rPr>
            </w:pPr>
            <w:r w:rsidRPr="00D06A73">
              <w:rPr>
                <w:rFonts w:asciiTheme="minorHAnsi" w:eastAsia="Times New Roman" w:hAnsiTheme="minorHAnsi" w:cstheme="minorHAnsi"/>
                <w:sz w:val="16"/>
                <w:szCs w:val="16"/>
                <w:lang w:eastAsia="es-MX"/>
              </w:rPr>
              <w:t>120,276,187.54</w:t>
            </w:r>
          </w:p>
        </w:tc>
      </w:tr>
      <w:tr w:rsidR="00D06A73" w:rsidRPr="00D06A73" w14:paraId="39DB5485" w14:textId="77777777" w:rsidTr="00D06A73">
        <w:trPr>
          <w:trHeight w:val="232"/>
          <w:jc w:val="center"/>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24D73A0D" w14:textId="77777777" w:rsidR="00D06A73" w:rsidRPr="00D06A73" w:rsidRDefault="00D06A73" w:rsidP="00D06A73">
            <w:pPr>
              <w:spacing w:after="0" w:line="240" w:lineRule="auto"/>
              <w:rPr>
                <w:rFonts w:asciiTheme="minorHAnsi" w:eastAsia="Times New Roman" w:hAnsiTheme="minorHAnsi" w:cstheme="minorHAnsi"/>
                <w:color w:val="000000"/>
                <w:sz w:val="16"/>
                <w:szCs w:val="16"/>
                <w:lang w:eastAsia="es-MX"/>
              </w:rPr>
            </w:pPr>
            <w:r w:rsidRPr="00D06A73">
              <w:rPr>
                <w:rFonts w:asciiTheme="minorHAnsi" w:eastAsia="Times New Roman" w:hAnsiTheme="minorHAnsi" w:cstheme="minorHAnsi"/>
                <w:color w:val="000000"/>
                <w:sz w:val="16"/>
                <w:szCs w:val="16"/>
                <w:lang w:eastAsia="es-MX"/>
              </w:rPr>
              <w:t>DERECHOS</w:t>
            </w:r>
          </w:p>
        </w:tc>
        <w:tc>
          <w:tcPr>
            <w:tcW w:w="1987" w:type="dxa"/>
            <w:tcBorders>
              <w:top w:val="nil"/>
              <w:left w:val="nil"/>
              <w:bottom w:val="single" w:sz="4" w:space="0" w:color="auto"/>
              <w:right w:val="single" w:sz="4" w:space="0" w:color="auto"/>
            </w:tcBorders>
            <w:shd w:val="clear" w:color="auto" w:fill="auto"/>
            <w:noWrap/>
            <w:vAlign w:val="bottom"/>
            <w:hideMark/>
          </w:tcPr>
          <w:p w14:paraId="6FDAD99D" w14:textId="77777777" w:rsidR="00D06A73" w:rsidRPr="00D06A73" w:rsidRDefault="00D06A73" w:rsidP="00D06A73">
            <w:pPr>
              <w:spacing w:after="0" w:line="240" w:lineRule="auto"/>
              <w:jc w:val="right"/>
              <w:rPr>
                <w:rFonts w:asciiTheme="minorHAnsi" w:eastAsia="Times New Roman" w:hAnsiTheme="minorHAnsi" w:cstheme="minorHAnsi"/>
                <w:sz w:val="16"/>
                <w:szCs w:val="16"/>
                <w:lang w:eastAsia="es-MX"/>
              </w:rPr>
            </w:pPr>
            <w:r w:rsidRPr="00D06A73">
              <w:rPr>
                <w:rFonts w:asciiTheme="minorHAnsi" w:eastAsia="Times New Roman" w:hAnsiTheme="minorHAnsi" w:cstheme="minorHAnsi"/>
                <w:sz w:val="16"/>
                <w:szCs w:val="16"/>
                <w:lang w:eastAsia="es-MX"/>
              </w:rPr>
              <w:t>65,660,061.99</w:t>
            </w:r>
          </w:p>
        </w:tc>
      </w:tr>
      <w:tr w:rsidR="00D06A73" w:rsidRPr="00D06A73" w14:paraId="66186BE8" w14:textId="77777777" w:rsidTr="00D06A73">
        <w:trPr>
          <w:trHeight w:val="232"/>
          <w:jc w:val="center"/>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2E464F27" w14:textId="77777777" w:rsidR="00D06A73" w:rsidRPr="00D06A73" w:rsidRDefault="00D06A73" w:rsidP="00D06A73">
            <w:pPr>
              <w:spacing w:after="0" w:line="240" w:lineRule="auto"/>
              <w:rPr>
                <w:rFonts w:asciiTheme="minorHAnsi" w:eastAsia="Times New Roman" w:hAnsiTheme="minorHAnsi" w:cstheme="minorHAnsi"/>
                <w:color w:val="000000"/>
                <w:sz w:val="16"/>
                <w:szCs w:val="16"/>
                <w:lang w:eastAsia="es-MX"/>
              </w:rPr>
            </w:pPr>
            <w:r w:rsidRPr="00D06A73">
              <w:rPr>
                <w:rFonts w:asciiTheme="minorHAnsi" w:eastAsia="Times New Roman" w:hAnsiTheme="minorHAnsi" w:cstheme="minorHAnsi"/>
                <w:color w:val="000000"/>
                <w:sz w:val="16"/>
                <w:szCs w:val="16"/>
                <w:lang w:eastAsia="es-MX"/>
              </w:rPr>
              <w:t>PRODUCTOS</w:t>
            </w:r>
          </w:p>
        </w:tc>
        <w:tc>
          <w:tcPr>
            <w:tcW w:w="1987" w:type="dxa"/>
            <w:tcBorders>
              <w:top w:val="nil"/>
              <w:left w:val="nil"/>
              <w:bottom w:val="single" w:sz="4" w:space="0" w:color="auto"/>
              <w:right w:val="single" w:sz="4" w:space="0" w:color="auto"/>
            </w:tcBorders>
            <w:shd w:val="clear" w:color="auto" w:fill="auto"/>
            <w:noWrap/>
            <w:vAlign w:val="bottom"/>
            <w:hideMark/>
          </w:tcPr>
          <w:p w14:paraId="5A576707" w14:textId="77777777" w:rsidR="00D06A73" w:rsidRPr="00D06A73" w:rsidRDefault="00D06A73" w:rsidP="00D06A73">
            <w:pPr>
              <w:spacing w:after="0" w:line="240" w:lineRule="auto"/>
              <w:jc w:val="right"/>
              <w:rPr>
                <w:rFonts w:asciiTheme="minorHAnsi" w:eastAsia="Times New Roman" w:hAnsiTheme="minorHAnsi" w:cstheme="minorHAnsi"/>
                <w:sz w:val="16"/>
                <w:szCs w:val="16"/>
                <w:lang w:eastAsia="es-MX"/>
              </w:rPr>
            </w:pPr>
            <w:r w:rsidRPr="00D06A73">
              <w:rPr>
                <w:rFonts w:asciiTheme="minorHAnsi" w:eastAsia="Times New Roman" w:hAnsiTheme="minorHAnsi" w:cstheme="minorHAnsi"/>
                <w:sz w:val="16"/>
                <w:szCs w:val="16"/>
                <w:lang w:eastAsia="es-MX"/>
              </w:rPr>
              <w:t>7,222,122.61</w:t>
            </w:r>
          </w:p>
        </w:tc>
      </w:tr>
      <w:tr w:rsidR="00D06A73" w:rsidRPr="00D06A73" w14:paraId="0F884A4C" w14:textId="77777777" w:rsidTr="00D06A73">
        <w:trPr>
          <w:trHeight w:val="232"/>
          <w:jc w:val="center"/>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51F0807E" w14:textId="77777777" w:rsidR="00D06A73" w:rsidRPr="00D06A73" w:rsidRDefault="00D06A73" w:rsidP="00D06A73">
            <w:pPr>
              <w:spacing w:after="0" w:line="240" w:lineRule="auto"/>
              <w:rPr>
                <w:rFonts w:asciiTheme="minorHAnsi" w:eastAsia="Times New Roman" w:hAnsiTheme="minorHAnsi" w:cstheme="minorHAnsi"/>
                <w:color w:val="000000"/>
                <w:sz w:val="16"/>
                <w:szCs w:val="16"/>
                <w:lang w:eastAsia="es-MX"/>
              </w:rPr>
            </w:pPr>
            <w:r w:rsidRPr="00D06A73">
              <w:rPr>
                <w:rFonts w:asciiTheme="minorHAnsi" w:eastAsia="Times New Roman" w:hAnsiTheme="minorHAnsi" w:cstheme="minorHAnsi"/>
                <w:color w:val="000000"/>
                <w:sz w:val="16"/>
                <w:szCs w:val="16"/>
                <w:lang w:eastAsia="es-MX"/>
              </w:rPr>
              <w:t>APROVECHAMIENTOS</w:t>
            </w:r>
          </w:p>
        </w:tc>
        <w:tc>
          <w:tcPr>
            <w:tcW w:w="1987" w:type="dxa"/>
            <w:tcBorders>
              <w:top w:val="nil"/>
              <w:left w:val="nil"/>
              <w:bottom w:val="single" w:sz="4" w:space="0" w:color="auto"/>
              <w:right w:val="single" w:sz="4" w:space="0" w:color="auto"/>
            </w:tcBorders>
            <w:shd w:val="clear" w:color="auto" w:fill="auto"/>
            <w:noWrap/>
            <w:vAlign w:val="bottom"/>
            <w:hideMark/>
          </w:tcPr>
          <w:p w14:paraId="127E3A1E" w14:textId="77777777" w:rsidR="00D06A73" w:rsidRPr="00D06A73" w:rsidRDefault="00D06A73" w:rsidP="00D06A73">
            <w:pPr>
              <w:spacing w:after="0" w:line="240" w:lineRule="auto"/>
              <w:jc w:val="right"/>
              <w:rPr>
                <w:rFonts w:asciiTheme="minorHAnsi" w:eastAsia="Times New Roman" w:hAnsiTheme="minorHAnsi" w:cstheme="minorHAnsi"/>
                <w:sz w:val="16"/>
                <w:szCs w:val="16"/>
                <w:lang w:eastAsia="es-MX"/>
              </w:rPr>
            </w:pPr>
            <w:r w:rsidRPr="00D06A73">
              <w:rPr>
                <w:rFonts w:asciiTheme="minorHAnsi" w:eastAsia="Times New Roman" w:hAnsiTheme="minorHAnsi" w:cstheme="minorHAnsi"/>
                <w:sz w:val="16"/>
                <w:szCs w:val="16"/>
                <w:lang w:eastAsia="es-MX"/>
              </w:rPr>
              <w:t>8,195,785.06</w:t>
            </w:r>
          </w:p>
        </w:tc>
      </w:tr>
      <w:tr w:rsidR="00D06A73" w:rsidRPr="00D06A73" w14:paraId="78EE517E" w14:textId="77777777" w:rsidTr="00D06A73">
        <w:trPr>
          <w:trHeight w:val="698"/>
          <w:jc w:val="center"/>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7A96FE54" w14:textId="77777777" w:rsidR="00D06A73" w:rsidRPr="00D06A73" w:rsidRDefault="00D06A73" w:rsidP="00D06A73">
            <w:pPr>
              <w:spacing w:after="0" w:line="240" w:lineRule="auto"/>
              <w:rPr>
                <w:rFonts w:asciiTheme="minorHAnsi" w:eastAsia="Times New Roman" w:hAnsiTheme="minorHAnsi" w:cstheme="minorHAnsi"/>
                <w:color w:val="000000"/>
                <w:sz w:val="16"/>
                <w:szCs w:val="16"/>
                <w:lang w:eastAsia="es-MX"/>
              </w:rPr>
            </w:pPr>
            <w:r w:rsidRPr="00D06A73">
              <w:rPr>
                <w:rFonts w:asciiTheme="minorHAnsi" w:eastAsia="Times New Roman" w:hAnsiTheme="minorHAnsi" w:cstheme="minorHAnsi"/>
                <w:color w:val="000000"/>
                <w:sz w:val="16"/>
                <w:szCs w:val="16"/>
                <w:lang w:eastAsia="es-MX"/>
              </w:rPr>
              <w:t>PARTICIPACIONES, APORTACIONES, CONVENIOS, INCENTIVOS DERIVADOS DE LA COLABORACIÓN FISCAL Y FONDOS DISTINTOS DE APORTACIONES</w:t>
            </w:r>
          </w:p>
        </w:tc>
        <w:tc>
          <w:tcPr>
            <w:tcW w:w="1987" w:type="dxa"/>
            <w:tcBorders>
              <w:top w:val="nil"/>
              <w:left w:val="nil"/>
              <w:bottom w:val="single" w:sz="4" w:space="0" w:color="auto"/>
              <w:right w:val="single" w:sz="4" w:space="0" w:color="auto"/>
            </w:tcBorders>
            <w:shd w:val="clear" w:color="auto" w:fill="auto"/>
            <w:noWrap/>
            <w:vAlign w:val="bottom"/>
            <w:hideMark/>
          </w:tcPr>
          <w:p w14:paraId="0DA7C99D" w14:textId="77777777" w:rsidR="00D06A73" w:rsidRPr="00D06A73" w:rsidRDefault="00D06A73" w:rsidP="00D06A73">
            <w:pPr>
              <w:spacing w:after="0" w:line="240" w:lineRule="auto"/>
              <w:jc w:val="right"/>
              <w:rPr>
                <w:rFonts w:asciiTheme="minorHAnsi" w:eastAsia="Times New Roman" w:hAnsiTheme="minorHAnsi" w:cstheme="minorHAnsi"/>
                <w:sz w:val="16"/>
                <w:szCs w:val="16"/>
                <w:lang w:eastAsia="es-MX"/>
              </w:rPr>
            </w:pPr>
            <w:r w:rsidRPr="00D06A73">
              <w:rPr>
                <w:rFonts w:asciiTheme="minorHAnsi" w:eastAsia="Times New Roman" w:hAnsiTheme="minorHAnsi" w:cstheme="minorHAnsi"/>
                <w:sz w:val="16"/>
                <w:szCs w:val="16"/>
                <w:lang w:eastAsia="es-MX"/>
              </w:rPr>
              <w:t>357,068,808.26</w:t>
            </w:r>
          </w:p>
        </w:tc>
      </w:tr>
      <w:tr w:rsidR="00D06A73" w:rsidRPr="00D06A73" w14:paraId="68FCC190" w14:textId="77777777" w:rsidTr="00D06A73">
        <w:trPr>
          <w:trHeight w:val="524"/>
          <w:jc w:val="center"/>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69B93739" w14:textId="77777777" w:rsidR="00D06A73" w:rsidRPr="00D06A73" w:rsidRDefault="00D06A73" w:rsidP="00D06A73">
            <w:pPr>
              <w:spacing w:after="0" w:line="240" w:lineRule="auto"/>
              <w:rPr>
                <w:rFonts w:asciiTheme="minorHAnsi" w:eastAsia="Times New Roman" w:hAnsiTheme="minorHAnsi" w:cstheme="minorHAnsi"/>
                <w:color w:val="000000"/>
                <w:sz w:val="16"/>
                <w:szCs w:val="16"/>
                <w:lang w:eastAsia="es-MX"/>
              </w:rPr>
            </w:pPr>
            <w:r w:rsidRPr="00D06A73">
              <w:rPr>
                <w:rFonts w:asciiTheme="minorHAnsi" w:eastAsia="Times New Roman" w:hAnsiTheme="minorHAnsi" w:cstheme="minorHAnsi"/>
                <w:color w:val="000000"/>
                <w:sz w:val="16"/>
                <w:szCs w:val="16"/>
                <w:lang w:eastAsia="es-MX"/>
              </w:rPr>
              <w:t>TRANSFERENCIAS, ASIGNACIONES, SUBSIDIOS Y SUBVENCIONES, Y PENSIONES Y JUBILACIONES</w:t>
            </w:r>
          </w:p>
        </w:tc>
        <w:tc>
          <w:tcPr>
            <w:tcW w:w="1987" w:type="dxa"/>
            <w:tcBorders>
              <w:top w:val="nil"/>
              <w:left w:val="nil"/>
              <w:bottom w:val="single" w:sz="4" w:space="0" w:color="auto"/>
              <w:right w:val="single" w:sz="4" w:space="0" w:color="auto"/>
            </w:tcBorders>
            <w:shd w:val="clear" w:color="auto" w:fill="auto"/>
            <w:noWrap/>
            <w:vAlign w:val="bottom"/>
            <w:hideMark/>
          </w:tcPr>
          <w:p w14:paraId="018867A4" w14:textId="77777777" w:rsidR="00D06A73" w:rsidRPr="00D06A73" w:rsidRDefault="00D06A73" w:rsidP="00D06A73">
            <w:pPr>
              <w:spacing w:after="0" w:line="240" w:lineRule="auto"/>
              <w:jc w:val="right"/>
              <w:rPr>
                <w:rFonts w:asciiTheme="minorHAnsi" w:eastAsia="Times New Roman" w:hAnsiTheme="minorHAnsi" w:cstheme="minorHAnsi"/>
                <w:sz w:val="16"/>
                <w:szCs w:val="16"/>
                <w:lang w:eastAsia="es-MX"/>
              </w:rPr>
            </w:pPr>
            <w:r w:rsidRPr="00D06A73">
              <w:rPr>
                <w:rFonts w:asciiTheme="minorHAnsi" w:eastAsia="Times New Roman" w:hAnsiTheme="minorHAnsi" w:cstheme="minorHAnsi"/>
                <w:sz w:val="16"/>
                <w:szCs w:val="16"/>
                <w:lang w:eastAsia="es-MX"/>
              </w:rPr>
              <w:t>1,663,794.77</w:t>
            </w:r>
          </w:p>
        </w:tc>
      </w:tr>
      <w:tr w:rsidR="00D06A73" w:rsidRPr="00D06A73" w14:paraId="642E4C0F" w14:textId="77777777" w:rsidTr="00D06A73">
        <w:trPr>
          <w:trHeight w:val="232"/>
          <w:jc w:val="center"/>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439A99FD" w14:textId="77777777" w:rsidR="00D06A73" w:rsidRPr="00D06A73" w:rsidRDefault="00D06A73" w:rsidP="00D06A73">
            <w:pPr>
              <w:spacing w:after="0" w:line="240" w:lineRule="auto"/>
              <w:rPr>
                <w:rFonts w:asciiTheme="minorHAnsi" w:eastAsia="Times New Roman" w:hAnsiTheme="minorHAnsi" w:cstheme="minorHAnsi"/>
                <w:color w:val="000000"/>
                <w:sz w:val="16"/>
                <w:szCs w:val="16"/>
                <w:lang w:eastAsia="es-MX"/>
              </w:rPr>
            </w:pPr>
            <w:r w:rsidRPr="00D06A73">
              <w:rPr>
                <w:rFonts w:asciiTheme="minorHAnsi" w:eastAsia="Times New Roman" w:hAnsiTheme="minorHAnsi" w:cstheme="minorHAnsi"/>
                <w:color w:val="000000"/>
                <w:sz w:val="16"/>
                <w:szCs w:val="16"/>
                <w:lang w:eastAsia="es-MX"/>
              </w:rPr>
              <w:t>OTROS INGRESOS Y BENEFICIOS</w:t>
            </w:r>
          </w:p>
        </w:tc>
        <w:tc>
          <w:tcPr>
            <w:tcW w:w="1987" w:type="dxa"/>
            <w:tcBorders>
              <w:top w:val="nil"/>
              <w:left w:val="nil"/>
              <w:bottom w:val="single" w:sz="4" w:space="0" w:color="auto"/>
              <w:right w:val="single" w:sz="4" w:space="0" w:color="auto"/>
            </w:tcBorders>
            <w:shd w:val="clear" w:color="auto" w:fill="auto"/>
            <w:vAlign w:val="center"/>
            <w:hideMark/>
          </w:tcPr>
          <w:p w14:paraId="1D125AB3" w14:textId="77777777" w:rsidR="00D06A73" w:rsidRPr="00D06A73" w:rsidRDefault="00D06A73" w:rsidP="00D06A73">
            <w:pPr>
              <w:spacing w:after="0" w:line="240" w:lineRule="auto"/>
              <w:jc w:val="right"/>
              <w:rPr>
                <w:rFonts w:asciiTheme="minorHAnsi" w:eastAsia="Times New Roman" w:hAnsiTheme="minorHAnsi" w:cstheme="minorHAnsi"/>
                <w:color w:val="000000"/>
                <w:sz w:val="16"/>
                <w:szCs w:val="16"/>
                <w:lang w:eastAsia="es-MX"/>
              </w:rPr>
            </w:pPr>
            <w:r w:rsidRPr="00D06A73">
              <w:rPr>
                <w:rFonts w:asciiTheme="minorHAnsi" w:eastAsia="Times New Roman" w:hAnsiTheme="minorHAnsi" w:cstheme="minorHAnsi"/>
                <w:color w:val="000000"/>
                <w:sz w:val="16"/>
                <w:szCs w:val="16"/>
                <w:lang w:eastAsia="es-MX"/>
              </w:rPr>
              <w:t>0.00</w:t>
            </w:r>
          </w:p>
        </w:tc>
      </w:tr>
      <w:tr w:rsidR="00D06A73" w:rsidRPr="00D06A73" w14:paraId="6259E30A" w14:textId="77777777" w:rsidTr="00D06A73">
        <w:trPr>
          <w:trHeight w:val="232"/>
          <w:jc w:val="center"/>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5F28BCC8" w14:textId="77777777" w:rsidR="00D06A73" w:rsidRPr="00D06A73" w:rsidRDefault="00D06A73" w:rsidP="00D06A73">
            <w:pPr>
              <w:spacing w:after="0" w:line="240" w:lineRule="auto"/>
              <w:rPr>
                <w:rFonts w:asciiTheme="minorHAnsi" w:eastAsia="Times New Roman" w:hAnsiTheme="minorHAnsi" w:cstheme="minorHAnsi"/>
                <w:b/>
                <w:bCs/>
                <w:color w:val="000000"/>
                <w:sz w:val="16"/>
                <w:szCs w:val="16"/>
                <w:lang w:eastAsia="es-MX"/>
              </w:rPr>
            </w:pPr>
            <w:r w:rsidRPr="00D06A73">
              <w:rPr>
                <w:rFonts w:asciiTheme="minorHAnsi" w:eastAsia="Times New Roman" w:hAnsiTheme="minorHAnsi" w:cstheme="minorHAnsi"/>
                <w:b/>
                <w:bCs/>
                <w:color w:val="000000"/>
                <w:sz w:val="16"/>
                <w:szCs w:val="16"/>
                <w:lang w:eastAsia="es-MX"/>
              </w:rPr>
              <w:t>TOTAL</w:t>
            </w:r>
          </w:p>
        </w:tc>
        <w:tc>
          <w:tcPr>
            <w:tcW w:w="1987" w:type="dxa"/>
            <w:tcBorders>
              <w:top w:val="nil"/>
              <w:left w:val="nil"/>
              <w:bottom w:val="single" w:sz="4" w:space="0" w:color="auto"/>
              <w:right w:val="single" w:sz="4" w:space="0" w:color="auto"/>
            </w:tcBorders>
            <w:shd w:val="clear" w:color="auto" w:fill="auto"/>
            <w:vAlign w:val="center"/>
            <w:hideMark/>
          </w:tcPr>
          <w:p w14:paraId="38DF1C9F" w14:textId="77777777" w:rsidR="00D06A73" w:rsidRPr="00D06A73" w:rsidRDefault="00D06A73" w:rsidP="00D06A73">
            <w:pPr>
              <w:spacing w:after="0" w:line="240" w:lineRule="auto"/>
              <w:jc w:val="right"/>
              <w:rPr>
                <w:rFonts w:asciiTheme="minorHAnsi" w:eastAsia="Times New Roman" w:hAnsiTheme="minorHAnsi" w:cstheme="minorHAnsi"/>
                <w:b/>
                <w:bCs/>
                <w:color w:val="000000"/>
                <w:sz w:val="16"/>
                <w:szCs w:val="16"/>
                <w:lang w:eastAsia="es-MX"/>
              </w:rPr>
            </w:pPr>
            <w:r w:rsidRPr="00D06A73">
              <w:rPr>
                <w:rFonts w:asciiTheme="minorHAnsi" w:eastAsia="Times New Roman" w:hAnsiTheme="minorHAnsi" w:cstheme="minorHAnsi"/>
                <w:b/>
                <w:bCs/>
                <w:color w:val="000000"/>
                <w:sz w:val="16"/>
                <w:szCs w:val="16"/>
                <w:lang w:eastAsia="es-MX"/>
              </w:rPr>
              <w:t>560,086,760.23</w:t>
            </w:r>
          </w:p>
        </w:tc>
      </w:tr>
    </w:tbl>
    <w:p w14:paraId="3AD14C05" w14:textId="77777777" w:rsidR="001E1EDE" w:rsidRPr="009F6E4B" w:rsidRDefault="001E1EDE" w:rsidP="001E1EDE">
      <w:pPr>
        <w:pStyle w:val="Prrafodelista"/>
        <w:tabs>
          <w:tab w:val="left" w:leader="underscore" w:pos="9639"/>
        </w:tabs>
        <w:spacing w:after="0" w:line="240" w:lineRule="auto"/>
        <w:jc w:val="both"/>
        <w:rPr>
          <w:rFonts w:cs="Calibri"/>
          <w:sz w:val="20"/>
          <w:szCs w:val="20"/>
        </w:rPr>
      </w:pPr>
    </w:p>
    <w:p w14:paraId="6DD1F27E" w14:textId="77777777" w:rsidR="00726802" w:rsidRPr="009F6E4B" w:rsidRDefault="00726802" w:rsidP="00726802">
      <w:pPr>
        <w:pStyle w:val="Prrafodelista"/>
        <w:tabs>
          <w:tab w:val="left" w:leader="underscore" w:pos="9639"/>
        </w:tabs>
        <w:spacing w:after="0" w:line="240" w:lineRule="auto"/>
        <w:jc w:val="both"/>
        <w:rPr>
          <w:rFonts w:cs="Calibri"/>
          <w:sz w:val="20"/>
          <w:szCs w:val="20"/>
        </w:rPr>
      </w:pPr>
    </w:p>
    <w:p w14:paraId="46025E6B" w14:textId="3E22805F" w:rsidR="00726802" w:rsidRPr="009F6E4B" w:rsidRDefault="00726802" w:rsidP="001E1EDE">
      <w:pPr>
        <w:tabs>
          <w:tab w:val="left" w:leader="underscore" w:pos="9639"/>
        </w:tabs>
        <w:spacing w:after="0" w:line="240" w:lineRule="auto"/>
        <w:jc w:val="center"/>
        <w:rPr>
          <w:rFonts w:cs="Calibri"/>
          <w:sz w:val="20"/>
          <w:szCs w:val="20"/>
        </w:rPr>
      </w:pPr>
    </w:p>
    <w:p w14:paraId="5C7A99DB" w14:textId="77777777" w:rsidR="00603389" w:rsidRDefault="00D06A73" w:rsidP="00CB41C4">
      <w:pPr>
        <w:tabs>
          <w:tab w:val="left" w:leader="underscore" w:pos="9639"/>
        </w:tabs>
        <w:spacing w:after="0" w:line="240" w:lineRule="auto"/>
        <w:jc w:val="both"/>
        <w:rPr>
          <w:rFonts w:cs="Calibri"/>
          <w:b/>
          <w:sz w:val="20"/>
          <w:szCs w:val="20"/>
        </w:rPr>
      </w:pPr>
      <w:r>
        <w:rPr>
          <w:rFonts w:cs="Calibri"/>
          <w:b/>
          <w:sz w:val="20"/>
          <w:szCs w:val="20"/>
        </w:rPr>
        <w:t xml:space="preserve">    </w:t>
      </w:r>
    </w:p>
    <w:p w14:paraId="36C23337" w14:textId="58DE9833" w:rsidR="007D1E76" w:rsidRPr="00603389" w:rsidRDefault="007D1E76" w:rsidP="00603389">
      <w:pPr>
        <w:pStyle w:val="Prrafodelista"/>
        <w:numPr>
          <w:ilvl w:val="0"/>
          <w:numId w:val="2"/>
        </w:numPr>
        <w:tabs>
          <w:tab w:val="left" w:leader="underscore" w:pos="9639"/>
        </w:tabs>
        <w:spacing w:after="0" w:line="240" w:lineRule="auto"/>
        <w:jc w:val="both"/>
        <w:rPr>
          <w:rFonts w:cs="Calibri"/>
          <w:sz w:val="20"/>
          <w:szCs w:val="20"/>
        </w:rPr>
      </w:pPr>
      <w:r w:rsidRPr="00603389">
        <w:rPr>
          <w:rFonts w:cs="Calibri"/>
          <w:sz w:val="20"/>
          <w:szCs w:val="20"/>
        </w:rPr>
        <w:lastRenderedPageBreak/>
        <w:t>Proyección de la recaudación e ingresos en el mediano plazo:</w:t>
      </w:r>
    </w:p>
    <w:p w14:paraId="0CC74721" w14:textId="77777777" w:rsidR="00603389" w:rsidRPr="00603389" w:rsidRDefault="00603389" w:rsidP="00603389">
      <w:pPr>
        <w:pStyle w:val="Prrafodelista"/>
        <w:tabs>
          <w:tab w:val="left" w:leader="underscore" w:pos="9639"/>
        </w:tabs>
        <w:spacing w:after="0" w:line="240" w:lineRule="auto"/>
        <w:jc w:val="both"/>
        <w:rPr>
          <w:rFonts w:cs="Calibri"/>
          <w:sz w:val="20"/>
          <w:szCs w:val="20"/>
        </w:rPr>
      </w:pPr>
    </w:p>
    <w:tbl>
      <w:tblPr>
        <w:tblW w:w="4673" w:type="dxa"/>
        <w:jc w:val="center"/>
        <w:tblCellMar>
          <w:left w:w="70" w:type="dxa"/>
          <w:right w:w="70" w:type="dxa"/>
        </w:tblCellMar>
        <w:tblLook w:val="04A0" w:firstRow="1" w:lastRow="0" w:firstColumn="1" w:lastColumn="0" w:noHBand="0" w:noVBand="1"/>
      </w:tblPr>
      <w:tblGrid>
        <w:gridCol w:w="2547"/>
        <w:gridCol w:w="2126"/>
      </w:tblGrid>
      <w:tr w:rsidR="00D06A73" w:rsidRPr="00D06A73" w14:paraId="7796D712" w14:textId="77777777" w:rsidTr="00D06A73">
        <w:trPr>
          <w:trHeight w:val="280"/>
          <w:jc w:val="center"/>
        </w:trPr>
        <w:tc>
          <w:tcPr>
            <w:tcW w:w="4673" w:type="dxa"/>
            <w:gridSpan w:val="2"/>
            <w:tcBorders>
              <w:top w:val="single" w:sz="4" w:space="0" w:color="auto"/>
              <w:left w:val="single" w:sz="4" w:space="0" w:color="auto"/>
              <w:bottom w:val="single" w:sz="4" w:space="0" w:color="auto"/>
              <w:right w:val="single" w:sz="4" w:space="0" w:color="auto"/>
            </w:tcBorders>
            <w:shd w:val="clear" w:color="000000" w:fill="3A7B98"/>
            <w:vAlign w:val="center"/>
            <w:hideMark/>
          </w:tcPr>
          <w:p w14:paraId="316E82A6" w14:textId="77777777" w:rsidR="00D06A73" w:rsidRPr="00D06A73" w:rsidRDefault="00D06A73" w:rsidP="00D06A73">
            <w:pPr>
              <w:spacing w:after="0" w:line="240" w:lineRule="auto"/>
              <w:jc w:val="center"/>
              <w:rPr>
                <w:rFonts w:asciiTheme="minorHAnsi" w:eastAsia="Times New Roman" w:hAnsiTheme="minorHAnsi" w:cstheme="minorHAnsi"/>
                <w:b/>
                <w:bCs/>
                <w:color w:val="FFFFFF"/>
                <w:sz w:val="16"/>
                <w:szCs w:val="16"/>
                <w:lang w:eastAsia="es-MX"/>
              </w:rPr>
            </w:pPr>
            <w:r w:rsidRPr="00D06A73">
              <w:rPr>
                <w:rFonts w:asciiTheme="minorHAnsi" w:eastAsia="Times New Roman" w:hAnsiTheme="minorHAnsi" w:cstheme="minorHAnsi"/>
                <w:b/>
                <w:bCs/>
                <w:color w:val="FFFFFF"/>
                <w:sz w:val="16"/>
                <w:szCs w:val="16"/>
                <w:lang w:eastAsia="es-MX"/>
              </w:rPr>
              <w:t>REPORTE DE PRONÓSTICO DE RECAUDACIÓN</w:t>
            </w:r>
          </w:p>
        </w:tc>
      </w:tr>
      <w:tr w:rsidR="00D06A73" w:rsidRPr="00D06A73" w14:paraId="11B81978" w14:textId="77777777" w:rsidTr="00D06A73">
        <w:trPr>
          <w:trHeight w:val="280"/>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0C5B34A" w14:textId="77777777" w:rsidR="00D06A73" w:rsidRPr="00D06A73" w:rsidRDefault="00D06A73" w:rsidP="00D06A73">
            <w:pPr>
              <w:spacing w:after="0" w:line="240" w:lineRule="auto"/>
              <w:rPr>
                <w:rFonts w:asciiTheme="minorHAnsi" w:eastAsia="Times New Roman" w:hAnsiTheme="minorHAnsi" w:cstheme="minorHAnsi"/>
                <w:color w:val="000000"/>
                <w:sz w:val="16"/>
                <w:szCs w:val="16"/>
                <w:lang w:eastAsia="es-MX"/>
              </w:rPr>
            </w:pPr>
            <w:r w:rsidRPr="00D06A73">
              <w:rPr>
                <w:rFonts w:asciiTheme="minorHAnsi" w:eastAsia="Times New Roman" w:hAnsiTheme="minorHAnsi" w:cstheme="minorHAnsi"/>
                <w:color w:val="000000"/>
                <w:sz w:val="16"/>
                <w:szCs w:val="16"/>
                <w:lang w:eastAsia="es-MX"/>
              </w:rPr>
              <w:t>IMPUESTOS</w:t>
            </w:r>
          </w:p>
        </w:tc>
        <w:tc>
          <w:tcPr>
            <w:tcW w:w="2126" w:type="dxa"/>
            <w:tcBorders>
              <w:top w:val="nil"/>
              <w:left w:val="nil"/>
              <w:bottom w:val="single" w:sz="4" w:space="0" w:color="auto"/>
              <w:right w:val="single" w:sz="4" w:space="0" w:color="auto"/>
            </w:tcBorders>
            <w:shd w:val="clear" w:color="auto" w:fill="auto"/>
            <w:noWrap/>
            <w:vAlign w:val="bottom"/>
            <w:hideMark/>
          </w:tcPr>
          <w:p w14:paraId="6B7C117F" w14:textId="77777777" w:rsidR="00D06A73" w:rsidRPr="00D06A73" w:rsidRDefault="00D06A73" w:rsidP="00D06A73">
            <w:pPr>
              <w:spacing w:after="0" w:line="240" w:lineRule="auto"/>
              <w:jc w:val="right"/>
              <w:rPr>
                <w:rFonts w:asciiTheme="minorHAnsi" w:eastAsia="Times New Roman" w:hAnsiTheme="minorHAnsi" w:cstheme="minorHAnsi"/>
                <w:sz w:val="16"/>
                <w:szCs w:val="16"/>
                <w:lang w:eastAsia="es-MX"/>
              </w:rPr>
            </w:pPr>
            <w:r w:rsidRPr="00D06A73">
              <w:rPr>
                <w:rFonts w:asciiTheme="minorHAnsi" w:eastAsia="Times New Roman" w:hAnsiTheme="minorHAnsi" w:cstheme="minorHAnsi"/>
                <w:sz w:val="16"/>
                <w:szCs w:val="16"/>
                <w:lang w:eastAsia="es-MX"/>
              </w:rPr>
              <w:t>141,058,928.00</w:t>
            </w:r>
          </w:p>
        </w:tc>
      </w:tr>
      <w:tr w:rsidR="00D06A73" w:rsidRPr="00D06A73" w14:paraId="46891CC3" w14:textId="77777777" w:rsidTr="00D06A73">
        <w:trPr>
          <w:trHeight w:val="280"/>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EB5CC76" w14:textId="77777777" w:rsidR="00D06A73" w:rsidRPr="00D06A73" w:rsidRDefault="00D06A73" w:rsidP="00D06A73">
            <w:pPr>
              <w:spacing w:after="0" w:line="240" w:lineRule="auto"/>
              <w:rPr>
                <w:rFonts w:asciiTheme="minorHAnsi" w:eastAsia="Times New Roman" w:hAnsiTheme="minorHAnsi" w:cstheme="minorHAnsi"/>
                <w:color w:val="000000"/>
                <w:sz w:val="16"/>
                <w:szCs w:val="16"/>
                <w:lang w:eastAsia="es-MX"/>
              </w:rPr>
            </w:pPr>
            <w:r w:rsidRPr="00D06A73">
              <w:rPr>
                <w:rFonts w:asciiTheme="minorHAnsi" w:eastAsia="Times New Roman" w:hAnsiTheme="minorHAnsi" w:cstheme="minorHAnsi"/>
                <w:color w:val="000000"/>
                <w:sz w:val="16"/>
                <w:szCs w:val="16"/>
                <w:lang w:eastAsia="es-MX"/>
              </w:rPr>
              <w:t>DERECHOS</w:t>
            </w:r>
          </w:p>
        </w:tc>
        <w:tc>
          <w:tcPr>
            <w:tcW w:w="2126" w:type="dxa"/>
            <w:tcBorders>
              <w:top w:val="nil"/>
              <w:left w:val="nil"/>
              <w:bottom w:val="single" w:sz="4" w:space="0" w:color="auto"/>
              <w:right w:val="single" w:sz="4" w:space="0" w:color="auto"/>
            </w:tcBorders>
            <w:shd w:val="clear" w:color="auto" w:fill="auto"/>
            <w:noWrap/>
            <w:vAlign w:val="bottom"/>
            <w:hideMark/>
          </w:tcPr>
          <w:p w14:paraId="7F71A9B9" w14:textId="77777777" w:rsidR="00D06A73" w:rsidRPr="00D06A73" w:rsidRDefault="00D06A73" w:rsidP="00D06A73">
            <w:pPr>
              <w:spacing w:after="0" w:line="240" w:lineRule="auto"/>
              <w:jc w:val="right"/>
              <w:rPr>
                <w:rFonts w:asciiTheme="minorHAnsi" w:eastAsia="Times New Roman" w:hAnsiTheme="minorHAnsi" w:cstheme="minorHAnsi"/>
                <w:sz w:val="16"/>
                <w:szCs w:val="16"/>
                <w:lang w:eastAsia="es-MX"/>
              </w:rPr>
            </w:pPr>
            <w:r w:rsidRPr="00D06A73">
              <w:rPr>
                <w:rFonts w:asciiTheme="minorHAnsi" w:eastAsia="Times New Roman" w:hAnsiTheme="minorHAnsi" w:cstheme="minorHAnsi"/>
                <w:sz w:val="16"/>
                <w:szCs w:val="16"/>
                <w:lang w:eastAsia="es-MX"/>
              </w:rPr>
              <w:t>120,687,489.00</w:t>
            </w:r>
          </w:p>
        </w:tc>
      </w:tr>
      <w:tr w:rsidR="00D06A73" w:rsidRPr="00D06A73" w14:paraId="78DF6114" w14:textId="77777777" w:rsidTr="00D06A73">
        <w:trPr>
          <w:trHeight w:val="280"/>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52136BD" w14:textId="77777777" w:rsidR="00D06A73" w:rsidRPr="00D06A73" w:rsidRDefault="00D06A73" w:rsidP="00D06A73">
            <w:pPr>
              <w:spacing w:after="0" w:line="240" w:lineRule="auto"/>
              <w:rPr>
                <w:rFonts w:asciiTheme="minorHAnsi" w:eastAsia="Times New Roman" w:hAnsiTheme="minorHAnsi" w:cstheme="minorHAnsi"/>
                <w:color w:val="000000"/>
                <w:sz w:val="16"/>
                <w:szCs w:val="16"/>
                <w:lang w:eastAsia="es-MX"/>
              </w:rPr>
            </w:pPr>
            <w:r w:rsidRPr="00D06A73">
              <w:rPr>
                <w:rFonts w:asciiTheme="minorHAnsi" w:eastAsia="Times New Roman" w:hAnsiTheme="minorHAnsi" w:cstheme="minorHAnsi"/>
                <w:color w:val="000000"/>
                <w:sz w:val="16"/>
                <w:szCs w:val="16"/>
                <w:lang w:eastAsia="es-MX"/>
              </w:rPr>
              <w:t>PRODUCTOS</w:t>
            </w:r>
          </w:p>
        </w:tc>
        <w:tc>
          <w:tcPr>
            <w:tcW w:w="2126" w:type="dxa"/>
            <w:tcBorders>
              <w:top w:val="nil"/>
              <w:left w:val="nil"/>
              <w:bottom w:val="single" w:sz="4" w:space="0" w:color="auto"/>
              <w:right w:val="single" w:sz="4" w:space="0" w:color="auto"/>
            </w:tcBorders>
            <w:shd w:val="clear" w:color="auto" w:fill="auto"/>
            <w:noWrap/>
            <w:vAlign w:val="bottom"/>
            <w:hideMark/>
          </w:tcPr>
          <w:p w14:paraId="363DB898" w14:textId="77777777" w:rsidR="00D06A73" w:rsidRPr="00D06A73" w:rsidRDefault="00D06A73" w:rsidP="00D06A73">
            <w:pPr>
              <w:spacing w:after="0" w:line="240" w:lineRule="auto"/>
              <w:jc w:val="right"/>
              <w:rPr>
                <w:rFonts w:asciiTheme="minorHAnsi" w:eastAsia="Times New Roman" w:hAnsiTheme="minorHAnsi" w:cstheme="minorHAnsi"/>
                <w:sz w:val="16"/>
                <w:szCs w:val="16"/>
                <w:lang w:eastAsia="es-MX"/>
              </w:rPr>
            </w:pPr>
            <w:r w:rsidRPr="00D06A73">
              <w:rPr>
                <w:rFonts w:asciiTheme="minorHAnsi" w:eastAsia="Times New Roman" w:hAnsiTheme="minorHAnsi" w:cstheme="minorHAnsi"/>
                <w:sz w:val="16"/>
                <w:szCs w:val="16"/>
                <w:lang w:eastAsia="es-MX"/>
              </w:rPr>
              <w:t>14,320,784.00</w:t>
            </w:r>
          </w:p>
        </w:tc>
      </w:tr>
      <w:tr w:rsidR="00D06A73" w:rsidRPr="00D06A73" w14:paraId="251CCFC0" w14:textId="77777777" w:rsidTr="00D06A73">
        <w:trPr>
          <w:trHeight w:val="280"/>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C9C2F82" w14:textId="77777777" w:rsidR="00D06A73" w:rsidRPr="00D06A73" w:rsidRDefault="00D06A73" w:rsidP="00D06A73">
            <w:pPr>
              <w:spacing w:after="0" w:line="240" w:lineRule="auto"/>
              <w:rPr>
                <w:rFonts w:asciiTheme="minorHAnsi" w:eastAsia="Times New Roman" w:hAnsiTheme="minorHAnsi" w:cstheme="minorHAnsi"/>
                <w:color w:val="000000"/>
                <w:sz w:val="16"/>
                <w:szCs w:val="16"/>
                <w:lang w:eastAsia="es-MX"/>
              </w:rPr>
            </w:pPr>
            <w:r w:rsidRPr="00D06A73">
              <w:rPr>
                <w:rFonts w:asciiTheme="minorHAnsi" w:eastAsia="Times New Roman" w:hAnsiTheme="minorHAnsi" w:cstheme="minorHAnsi"/>
                <w:color w:val="000000"/>
                <w:sz w:val="16"/>
                <w:szCs w:val="16"/>
                <w:lang w:eastAsia="es-MX"/>
              </w:rPr>
              <w:t>APROVECHAMIENTOS</w:t>
            </w:r>
          </w:p>
        </w:tc>
        <w:tc>
          <w:tcPr>
            <w:tcW w:w="2126" w:type="dxa"/>
            <w:tcBorders>
              <w:top w:val="nil"/>
              <w:left w:val="nil"/>
              <w:bottom w:val="single" w:sz="4" w:space="0" w:color="auto"/>
              <w:right w:val="single" w:sz="4" w:space="0" w:color="auto"/>
            </w:tcBorders>
            <w:shd w:val="clear" w:color="auto" w:fill="auto"/>
            <w:noWrap/>
            <w:vAlign w:val="bottom"/>
            <w:hideMark/>
          </w:tcPr>
          <w:p w14:paraId="7ED74FC9" w14:textId="77777777" w:rsidR="00D06A73" w:rsidRPr="00D06A73" w:rsidRDefault="00D06A73" w:rsidP="00D06A73">
            <w:pPr>
              <w:spacing w:after="0" w:line="240" w:lineRule="auto"/>
              <w:jc w:val="right"/>
              <w:rPr>
                <w:rFonts w:asciiTheme="minorHAnsi" w:eastAsia="Times New Roman" w:hAnsiTheme="minorHAnsi" w:cstheme="minorHAnsi"/>
                <w:sz w:val="16"/>
                <w:szCs w:val="16"/>
                <w:lang w:eastAsia="es-MX"/>
              </w:rPr>
            </w:pPr>
            <w:r w:rsidRPr="00D06A73">
              <w:rPr>
                <w:rFonts w:asciiTheme="minorHAnsi" w:eastAsia="Times New Roman" w:hAnsiTheme="minorHAnsi" w:cstheme="minorHAnsi"/>
                <w:sz w:val="16"/>
                <w:szCs w:val="16"/>
                <w:lang w:eastAsia="es-MX"/>
              </w:rPr>
              <w:t>17,997,518.00</w:t>
            </w:r>
          </w:p>
        </w:tc>
      </w:tr>
      <w:tr w:rsidR="00D06A73" w:rsidRPr="00D06A73" w14:paraId="74AB5BCD" w14:textId="77777777" w:rsidTr="00D06A73">
        <w:trPr>
          <w:trHeight w:val="841"/>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D5ACACC" w14:textId="77777777" w:rsidR="00D06A73" w:rsidRPr="00D06A73" w:rsidRDefault="00D06A73" w:rsidP="00D06A73">
            <w:pPr>
              <w:spacing w:after="0" w:line="240" w:lineRule="auto"/>
              <w:rPr>
                <w:rFonts w:asciiTheme="minorHAnsi" w:eastAsia="Times New Roman" w:hAnsiTheme="minorHAnsi" w:cstheme="minorHAnsi"/>
                <w:color w:val="000000"/>
                <w:sz w:val="16"/>
                <w:szCs w:val="16"/>
                <w:lang w:eastAsia="es-MX"/>
              </w:rPr>
            </w:pPr>
            <w:r w:rsidRPr="00D06A73">
              <w:rPr>
                <w:rFonts w:asciiTheme="minorHAnsi" w:eastAsia="Times New Roman" w:hAnsiTheme="minorHAnsi" w:cstheme="minorHAnsi"/>
                <w:color w:val="000000"/>
                <w:sz w:val="16"/>
                <w:szCs w:val="16"/>
                <w:lang w:eastAsia="es-MX"/>
              </w:rPr>
              <w:t>PARTICIPACIONES, APORTACIONES, CONVENIOS, INCENTIVOS DERIVADOS DE LA COLABORACIÓN FISCAL Y FONDOS DISTINTOS DE APORTACIONES</w:t>
            </w:r>
          </w:p>
        </w:tc>
        <w:tc>
          <w:tcPr>
            <w:tcW w:w="2126" w:type="dxa"/>
            <w:tcBorders>
              <w:top w:val="nil"/>
              <w:left w:val="nil"/>
              <w:bottom w:val="single" w:sz="4" w:space="0" w:color="auto"/>
              <w:right w:val="single" w:sz="4" w:space="0" w:color="auto"/>
            </w:tcBorders>
            <w:shd w:val="clear" w:color="auto" w:fill="auto"/>
            <w:noWrap/>
            <w:vAlign w:val="bottom"/>
            <w:hideMark/>
          </w:tcPr>
          <w:p w14:paraId="7F22C9F9" w14:textId="77777777" w:rsidR="00D06A73" w:rsidRPr="00D06A73" w:rsidRDefault="00D06A73" w:rsidP="00D06A73">
            <w:pPr>
              <w:spacing w:after="0" w:line="240" w:lineRule="auto"/>
              <w:jc w:val="right"/>
              <w:rPr>
                <w:rFonts w:asciiTheme="minorHAnsi" w:eastAsia="Times New Roman" w:hAnsiTheme="minorHAnsi" w:cstheme="minorHAnsi"/>
                <w:sz w:val="16"/>
                <w:szCs w:val="16"/>
                <w:lang w:eastAsia="es-MX"/>
              </w:rPr>
            </w:pPr>
            <w:r w:rsidRPr="00D06A73">
              <w:rPr>
                <w:rFonts w:asciiTheme="minorHAnsi" w:eastAsia="Times New Roman" w:hAnsiTheme="minorHAnsi" w:cstheme="minorHAnsi"/>
                <w:sz w:val="16"/>
                <w:szCs w:val="16"/>
                <w:lang w:eastAsia="es-MX"/>
              </w:rPr>
              <w:t>673,330,575.00</w:t>
            </w:r>
          </w:p>
        </w:tc>
      </w:tr>
      <w:tr w:rsidR="00D06A73" w:rsidRPr="00D06A73" w14:paraId="7B77EA5C" w14:textId="77777777" w:rsidTr="00D06A73">
        <w:trPr>
          <w:trHeight w:val="631"/>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CEDBB89" w14:textId="77777777" w:rsidR="00D06A73" w:rsidRPr="00D06A73" w:rsidRDefault="00D06A73" w:rsidP="00D06A73">
            <w:pPr>
              <w:spacing w:after="0" w:line="240" w:lineRule="auto"/>
              <w:rPr>
                <w:rFonts w:asciiTheme="minorHAnsi" w:eastAsia="Times New Roman" w:hAnsiTheme="minorHAnsi" w:cstheme="minorHAnsi"/>
                <w:color w:val="000000"/>
                <w:sz w:val="16"/>
                <w:szCs w:val="16"/>
                <w:lang w:eastAsia="es-MX"/>
              </w:rPr>
            </w:pPr>
            <w:r w:rsidRPr="00D06A73">
              <w:rPr>
                <w:rFonts w:asciiTheme="minorHAnsi" w:eastAsia="Times New Roman" w:hAnsiTheme="minorHAnsi" w:cstheme="minorHAnsi"/>
                <w:color w:val="000000"/>
                <w:sz w:val="16"/>
                <w:szCs w:val="16"/>
                <w:lang w:eastAsia="es-MX"/>
              </w:rPr>
              <w:t>TRANSFERENCIAS, ASIGNACIONES, SUBSIDIOS Y SUBVENCIONES, Y PENSIONES Y JUBILACIONES</w:t>
            </w:r>
          </w:p>
        </w:tc>
        <w:tc>
          <w:tcPr>
            <w:tcW w:w="2126" w:type="dxa"/>
            <w:tcBorders>
              <w:top w:val="nil"/>
              <w:left w:val="nil"/>
              <w:bottom w:val="single" w:sz="4" w:space="0" w:color="auto"/>
              <w:right w:val="single" w:sz="4" w:space="0" w:color="auto"/>
            </w:tcBorders>
            <w:shd w:val="clear" w:color="auto" w:fill="auto"/>
            <w:noWrap/>
            <w:vAlign w:val="bottom"/>
            <w:hideMark/>
          </w:tcPr>
          <w:p w14:paraId="77405E8B" w14:textId="77777777" w:rsidR="00D06A73" w:rsidRPr="00D06A73" w:rsidRDefault="00D06A73" w:rsidP="00D06A73">
            <w:pPr>
              <w:spacing w:after="0" w:line="240" w:lineRule="auto"/>
              <w:jc w:val="right"/>
              <w:rPr>
                <w:rFonts w:asciiTheme="minorHAnsi" w:eastAsia="Times New Roman" w:hAnsiTheme="minorHAnsi" w:cstheme="minorHAnsi"/>
                <w:sz w:val="16"/>
                <w:szCs w:val="16"/>
                <w:lang w:eastAsia="es-MX"/>
              </w:rPr>
            </w:pPr>
            <w:r w:rsidRPr="00D06A73">
              <w:rPr>
                <w:rFonts w:asciiTheme="minorHAnsi" w:eastAsia="Times New Roman" w:hAnsiTheme="minorHAnsi" w:cstheme="minorHAnsi"/>
                <w:sz w:val="16"/>
                <w:szCs w:val="16"/>
                <w:lang w:eastAsia="es-MX"/>
              </w:rPr>
              <w:t>93,086,778.00</w:t>
            </w:r>
          </w:p>
        </w:tc>
      </w:tr>
      <w:tr w:rsidR="00D06A73" w:rsidRPr="00D06A73" w14:paraId="2036F6A8" w14:textId="77777777" w:rsidTr="00D06A73">
        <w:trPr>
          <w:trHeight w:val="280"/>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266D2F8" w14:textId="77777777" w:rsidR="00D06A73" w:rsidRPr="00D06A73" w:rsidRDefault="00D06A73" w:rsidP="00D06A73">
            <w:pPr>
              <w:spacing w:after="0" w:line="240" w:lineRule="auto"/>
              <w:rPr>
                <w:rFonts w:asciiTheme="minorHAnsi" w:eastAsia="Times New Roman" w:hAnsiTheme="minorHAnsi" w:cstheme="minorHAnsi"/>
                <w:color w:val="000000"/>
                <w:sz w:val="16"/>
                <w:szCs w:val="16"/>
                <w:lang w:eastAsia="es-MX"/>
              </w:rPr>
            </w:pPr>
            <w:r w:rsidRPr="00D06A73">
              <w:rPr>
                <w:rFonts w:asciiTheme="minorHAnsi" w:eastAsia="Times New Roman" w:hAnsiTheme="minorHAnsi" w:cstheme="minorHAnsi"/>
                <w:color w:val="000000"/>
                <w:sz w:val="16"/>
                <w:szCs w:val="16"/>
                <w:lang w:eastAsia="es-MX"/>
              </w:rPr>
              <w:t>OTROS INGRESOS Y BENEFICIOS</w:t>
            </w:r>
          </w:p>
        </w:tc>
        <w:tc>
          <w:tcPr>
            <w:tcW w:w="2126" w:type="dxa"/>
            <w:tcBorders>
              <w:top w:val="nil"/>
              <w:left w:val="nil"/>
              <w:bottom w:val="single" w:sz="4" w:space="0" w:color="auto"/>
              <w:right w:val="single" w:sz="4" w:space="0" w:color="auto"/>
            </w:tcBorders>
            <w:shd w:val="clear" w:color="auto" w:fill="auto"/>
            <w:noWrap/>
            <w:vAlign w:val="bottom"/>
            <w:hideMark/>
          </w:tcPr>
          <w:p w14:paraId="7DB83E32" w14:textId="77777777" w:rsidR="00D06A73" w:rsidRPr="00D06A73" w:rsidRDefault="00D06A73" w:rsidP="00D06A73">
            <w:pPr>
              <w:spacing w:after="0" w:line="240" w:lineRule="auto"/>
              <w:jc w:val="right"/>
              <w:rPr>
                <w:rFonts w:asciiTheme="minorHAnsi" w:eastAsia="Times New Roman" w:hAnsiTheme="minorHAnsi" w:cstheme="minorHAnsi"/>
                <w:sz w:val="16"/>
                <w:szCs w:val="16"/>
                <w:lang w:eastAsia="es-MX"/>
              </w:rPr>
            </w:pPr>
            <w:r w:rsidRPr="00D06A73">
              <w:rPr>
                <w:rFonts w:asciiTheme="minorHAnsi" w:eastAsia="Times New Roman" w:hAnsiTheme="minorHAnsi" w:cstheme="minorHAnsi"/>
                <w:sz w:val="16"/>
                <w:szCs w:val="16"/>
                <w:lang w:eastAsia="es-MX"/>
              </w:rPr>
              <w:t>0.00</w:t>
            </w:r>
          </w:p>
        </w:tc>
      </w:tr>
      <w:tr w:rsidR="00D06A73" w:rsidRPr="00D06A73" w14:paraId="18966C7B" w14:textId="77777777" w:rsidTr="00D06A73">
        <w:trPr>
          <w:trHeight w:val="280"/>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7A1537C" w14:textId="77777777" w:rsidR="00D06A73" w:rsidRPr="00D06A73" w:rsidRDefault="00D06A73" w:rsidP="00D06A73">
            <w:pPr>
              <w:spacing w:after="0" w:line="240" w:lineRule="auto"/>
              <w:rPr>
                <w:rFonts w:asciiTheme="minorHAnsi" w:eastAsia="Times New Roman" w:hAnsiTheme="minorHAnsi" w:cstheme="minorHAnsi"/>
                <w:b/>
                <w:bCs/>
                <w:color w:val="000000"/>
                <w:sz w:val="16"/>
                <w:szCs w:val="16"/>
                <w:lang w:eastAsia="es-MX"/>
              </w:rPr>
            </w:pPr>
            <w:r w:rsidRPr="00D06A73">
              <w:rPr>
                <w:rFonts w:asciiTheme="minorHAnsi" w:eastAsia="Times New Roman" w:hAnsiTheme="minorHAnsi" w:cstheme="minorHAnsi"/>
                <w:b/>
                <w:bCs/>
                <w:color w:val="000000"/>
                <w:sz w:val="16"/>
                <w:szCs w:val="16"/>
                <w:lang w:eastAsia="es-MX"/>
              </w:rPr>
              <w:t>TOTAL</w:t>
            </w:r>
          </w:p>
        </w:tc>
        <w:tc>
          <w:tcPr>
            <w:tcW w:w="2126" w:type="dxa"/>
            <w:tcBorders>
              <w:top w:val="nil"/>
              <w:left w:val="nil"/>
              <w:bottom w:val="single" w:sz="4" w:space="0" w:color="auto"/>
              <w:right w:val="single" w:sz="4" w:space="0" w:color="auto"/>
            </w:tcBorders>
            <w:shd w:val="clear" w:color="auto" w:fill="auto"/>
            <w:vAlign w:val="center"/>
            <w:hideMark/>
          </w:tcPr>
          <w:p w14:paraId="030CAEB1" w14:textId="77777777" w:rsidR="00D06A73" w:rsidRPr="00D06A73" w:rsidRDefault="00D06A73" w:rsidP="00D06A73">
            <w:pPr>
              <w:spacing w:after="0" w:line="240" w:lineRule="auto"/>
              <w:jc w:val="right"/>
              <w:rPr>
                <w:rFonts w:asciiTheme="minorHAnsi" w:eastAsia="Times New Roman" w:hAnsiTheme="minorHAnsi" w:cstheme="minorHAnsi"/>
                <w:b/>
                <w:bCs/>
                <w:color w:val="000000"/>
                <w:sz w:val="16"/>
                <w:szCs w:val="16"/>
                <w:lang w:eastAsia="es-MX"/>
              </w:rPr>
            </w:pPr>
            <w:r w:rsidRPr="00D06A73">
              <w:rPr>
                <w:rFonts w:asciiTheme="minorHAnsi" w:eastAsia="Times New Roman" w:hAnsiTheme="minorHAnsi" w:cstheme="minorHAnsi"/>
                <w:b/>
                <w:bCs/>
                <w:color w:val="000000"/>
                <w:sz w:val="16"/>
                <w:szCs w:val="16"/>
                <w:lang w:eastAsia="es-MX"/>
              </w:rPr>
              <w:t>1,060,482,072.00</w:t>
            </w:r>
          </w:p>
        </w:tc>
      </w:tr>
    </w:tbl>
    <w:p w14:paraId="26FDB1A9" w14:textId="77777777" w:rsidR="00231FBE" w:rsidRPr="009F6E4B" w:rsidRDefault="00231FBE" w:rsidP="00CB41C4">
      <w:pPr>
        <w:tabs>
          <w:tab w:val="left" w:leader="underscore" w:pos="9639"/>
        </w:tabs>
        <w:spacing w:after="0" w:line="240" w:lineRule="auto"/>
        <w:jc w:val="both"/>
        <w:rPr>
          <w:rFonts w:cs="Calibri"/>
          <w:sz w:val="20"/>
          <w:szCs w:val="20"/>
        </w:rPr>
      </w:pPr>
    </w:p>
    <w:p w14:paraId="2D68C3FC" w14:textId="7BAEB103" w:rsidR="007D1E76" w:rsidRPr="009F6E4B" w:rsidRDefault="007D1E76" w:rsidP="000C3365">
      <w:pPr>
        <w:pStyle w:val="Ttulo2"/>
        <w:rPr>
          <w:rFonts w:asciiTheme="minorHAnsi" w:hAnsiTheme="minorHAnsi" w:cstheme="minorHAnsi"/>
          <w:b/>
          <w:color w:val="auto"/>
          <w:sz w:val="20"/>
          <w:szCs w:val="20"/>
        </w:rPr>
      </w:pPr>
      <w:bookmarkStart w:id="12" w:name="_Toc203572765"/>
      <w:r w:rsidRPr="009F6E4B">
        <w:rPr>
          <w:rFonts w:asciiTheme="minorHAnsi" w:hAnsiTheme="minorHAnsi" w:cstheme="minorHAnsi"/>
          <w:b/>
          <w:color w:val="auto"/>
          <w:sz w:val="20"/>
          <w:szCs w:val="20"/>
        </w:rPr>
        <w:t>1</w:t>
      </w:r>
      <w:r w:rsidR="00106EE9" w:rsidRPr="009F6E4B">
        <w:rPr>
          <w:rFonts w:asciiTheme="minorHAnsi" w:hAnsiTheme="minorHAnsi" w:cstheme="minorHAnsi"/>
          <w:b/>
          <w:color w:val="auto"/>
          <w:sz w:val="20"/>
          <w:szCs w:val="20"/>
        </w:rPr>
        <w:t>0</w:t>
      </w:r>
      <w:r w:rsidRPr="009F6E4B">
        <w:rPr>
          <w:rFonts w:asciiTheme="minorHAnsi" w:hAnsiTheme="minorHAnsi" w:cstheme="minorHAnsi"/>
          <w:b/>
          <w:color w:val="auto"/>
          <w:sz w:val="20"/>
          <w:szCs w:val="20"/>
        </w:rPr>
        <w:t>. Información sobre la Deuda y el R</w:t>
      </w:r>
      <w:r w:rsidR="005E231E" w:rsidRPr="009F6E4B">
        <w:rPr>
          <w:rFonts w:asciiTheme="minorHAnsi" w:hAnsiTheme="minorHAnsi" w:cstheme="minorHAnsi"/>
          <w:b/>
          <w:color w:val="auto"/>
          <w:sz w:val="20"/>
          <w:szCs w:val="20"/>
        </w:rPr>
        <w:t>eporte Analítico de la Deuda:</w:t>
      </w:r>
      <w:bookmarkEnd w:id="12"/>
    </w:p>
    <w:p w14:paraId="27337031" w14:textId="77777777" w:rsidR="007D1E76" w:rsidRPr="009F6E4B" w:rsidRDefault="007D1E76" w:rsidP="00CB41C4">
      <w:pPr>
        <w:tabs>
          <w:tab w:val="left" w:leader="underscore" w:pos="9639"/>
        </w:tabs>
        <w:spacing w:after="0" w:line="240" w:lineRule="auto"/>
        <w:jc w:val="both"/>
        <w:rPr>
          <w:rFonts w:cs="Calibri"/>
          <w:sz w:val="20"/>
          <w:szCs w:val="20"/>
        </w:rPr>
      </w:pPr>
    </w:p>
    <w:p w14:paraId="7B63D2E0" w14:textId="7777777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b/>
          <w:sz w:val="20"/>
          <w:szCs w:val="20"/>
        </w:rPr>
        <w:t>a)</w:t>
      </w:r>
      <w:r w:rsidRPr="009F6E4B">
        <w:rPr>
          <w:rFonts w:cs="Calibri"/>
          <w:sz w:val="20"/>
          <w:szCs w:val="20"/>
        </w:rPr>
        <w:t xml:space="preserve"> Utilizar al menos los siguientes indicadores: deuda respecto al PIB y deuda respecto a la recaudación tomando, como mínimo, un período igual o menor a 5 años.</w:t>
      </w:r>
    </w:p>
    <w:p w14:paraId="3F9DDBBA" w14:textId="77777777" w:rsidR="007D1E76" w:rsidRPr="009F6E4B" w:rsidRDefault="007D1E76" w:rsidP="00CB41C4">
      <w:pPr>
        <w:tabs>
          <w:tab w:val="left" w:leader="underscore" w:pos="9639"/>
        </w:tabs>
        <w:spacing w:after="0" w:line="240" w:lineRule="auto"/>
        <w:jc w:val="both"/>
        <w:rPr>
          <w:rFonts w:cs="Calibri"/>
          <w:sz w:val="20"/>
          <w:szCs w:val="20"/>
        </w:rPr>
      </w:pPr>
    </w:p>
    <w:p w14:paraId="26034E41" w14:textId="7777777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b/>
          <w:sz w:val="20"/>
          <w:szCs w:val="20"/>
        </w:rPr>
        <w:t>b)</w:t>
      </w:r>
      <w:r w:rsidRPr="009F6E4B">
        <w:rPr>
          <w:rFonts w:cs="Calibri"/>
          <w:sz w:val="20"/>
          <w:szCs w:val="20"/>
        </w:rPr>
        <w:t xml:space="preserve"> Información de manera agrupada por tipo de valor gubernamental o instrumento financiero en la que se considere</w:t>
      </w:r>
      <w:r w:rsidR="001973A2" w:rsidRPr="009F6E4B">
        <w:rPr>
          <w:rFonts w:cs="Calibri"/>
          <w:sz w:val="20"/>
          <w:szCs w:val="20"/>
        </w:rPr>
        <w:t>n</w:t>
      </w:r>
      <w:r w:rsidRPr="009F6E4B">
        <w:rPr>
          <w:rFonts w:cs="Calibri"/>
          <w:sz w:val="20"/>
          <w:szCs w:val="20"/>
        </w:rPr>
        <w:t xml:space="preserve"> intereses, comisiones, tasa, perfil de vencimiento y otros gastos de la deuda.</w:t>
      </w:r>
    </w:p>
    <w:p w14:paraId="67DDEBBA" w14:textId="00AEA81A"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sz w:val="20"/>
          <w:szCs w:val="20"/>
        </w:rPr>
        <w:t xml:space="preserve">* Se </w:t>
      </w:r>
      <w:r w:rsidR="000C3365" w:rsidRPr="009F6E4B">
        <w:rPr>
          <w:rFonts w:cs="Calibri"/>
          <w:sz w:val="20"/>
          <w:szCs w:val="20"/>
        </w:rPr>
        <w:t>anexará</w:t>
      </w:r>
      <w:r w:rsidRPr="009F6E4B">
        <w:rPr>
          <w:rFonts w:cs="Calibri"/>
          <w:sz w:val="20"/>
          <w:szCs w:val="20"/>
        </w:rPr>
        <w:t xml:space="preserve"> la informació</w:t>
      </w:r>
      <w:r w:rsidR="005E231E" w:rsidRPr="009F6E4B">
        <w:rPr>
          <w:rFonts w:cs="Calibri"/>
          <w:sz w:val="20"/>
          <w:szCs w:val="20"/>
        </w:rPr>
        <w:t>n en las notas de desglose.</w:t>
      </w:r>
    </w:p>
    <w:p w14:paraId="6EAE6B5E" w14:textId="77777777" w:rsidR="000F0656" w:rsidRPr="009F6E4B" w:rsidRDefault="000F0656" w:rsidP="00CB41C4">
      <w:pPr>
        <w:tabs>
          <w:tab w:val="left" w:leader="underscore" w:pos="9639"/>
        </w:tabs>
        <w:spacing w:after="0" w:line="240" w:lineRule="auto"/>
        <w:jc w:val="both"/>
        <w:rPr>
          <w:rFonts w:cs="Calibri"/>
          <w:sz w:val="20"/>
          <w:szCs w:val="20"/>
        </w:rPr>
      </w:pPr>
    </w:p>
    <w:p w14:paraId="78CD75E3" w14:textId="6CDDC4A3" w:rsidR="000F0656" w:rsidRPr="009F6E4B" w:rsidRDefault="000F0656" w:rsidP="000F0656">
      <w:pPr>
        <w:spacing w:after="0" w:line="240" w:lineRule="auto"/>
        <w:jc w:val="both"/>
        <w:rPr>
          <w:rFonts w:cs="Calibri"/>
          <w:sz w:val="20"/>
          <w:szCs w:val="20"/>
        </w:rPr>
      </w:pPr>
      <w:r w:rsidRPr="009F6E4B">
        <w:rPr>
          <w:rFonts w:eastAsia="Times New Roman" w:cs="Arial"/>
          <w:sz w:val="20"/>
          <w:szCs w:val="20"/>
        </w:rPr>
        <w:t>Al periodo</w:t>
      </w:r>
      <w:r w:rsidRPr="009F6E4B">
        <w:rPr>
          <w:rFonts w:cs="Calibri"/>
          <w:sz w:val="20"/>
          <w:szCs w:val="20"/>
        </w:rPr>
        <w:t xml:space="preserve"> que se informa no se tiene contratada deuda.</w:t>
      </w:r>
    </w:p>
    <w:p w14:paraId="3459EC5D" w14:textId="77777777" w:rsidR="000F0656" w:rsidRPr="009F6E4B" w:rsidRDefault="000F0656" w:rsidP="00CB41C4">
      <w:pPr>
        <w:tabs>
          <w:tab w:val="left" w:leader="underscore" w:pos="9639"/>
        </w:tabs>
        <w:spacing w:after="0" w:line="240" w:lineRule="auto"/>
        <w:jc w:val="both"/>
        <w:rPr>
          <w:rFonts w:cs="Calibri"/>
          <w:sz w:val="20"/>
          <w:szCs w:val="20"/>
        </w:rPr>
      </w:pPr>
    </w:p>
    <w:p w14:paraId="19C64A34" w14:textId="7E11CC12" w:rsidR="007D1E76" w:rsidRPr="009F6E4B" w:rsidRDefault="007D1E76" w:rsidP="000C3365">
      <w:pPr>
        <w:pStyle w:val="Ttulo2"/>
        <w:rPr>
          <w:rFonts w:asciiTheme="minorHAnsi" w:hAnsiTheme="minorHAnsi" w:cstheme="minorHAnsi"/>
          <w:b/>
          <w:color w:val="auto"/>
          <w:sz w:val="20"/>
          <w:szCs w:val="20"/>
        </w:rPr>
      </w:pPr>
      <w:bookmarkStart w:id="13" w:name="_Toc203572766"/>
      <w:r w:rsidRPr="009F6E4B">
        <w:rPr>
          <w:rFonts w:asciiTheme="minorHAnsi" w:hAnsiTheme="minorHAnsi" w:cstheme="minorHAnsi"/>
          <w:b/>
          <w:color w:val="auto"/>
          <w:sz w:val="20"/>
          <w:szCs w:val="20"/>
        </w:rPr>
        <w:t>1</w:t>
      </w:r>
      <w:r w:rsidR="005F2900" w:rsidRPr="009F6E4B">
        <w:rPr>
          <w:rFonts w:asciiTheme="minorHAnsi" w:hAnsiTheme="minorHAnsi" w:cstheme="minorHAnsi"/>
          <w:b/>
          <w:color w:val="auto"/>
          <w:sz w:val="20"/>
          <w:szCs w:val="20"/>
        </w:rPr>
        <w:t>1</w:t>
      </w:r>
      <w:r w:rsidRPr="009F6E4B">
        <w:rPr>
          <w:rFonts w:asciiTheme="minorHAnsi" w:hAnsiTheme="minorHAnsi" w:cstheme="minorHAnsi"/>
          <w:b/>
          <w:color w:val="auto"/>
          <w:sz w:val="20"/>
          <w:szCs w:val="20"/>
        </w:rPr>
        <w:t>.</w:t>
      </w:r>
      <w:r w:rsidR="005E231E" w:rsidRPr="009F6E4B">
        <w:rPr>
          <w:rFonts w:asciiTheme="minorHAnsi" w:hAnsiTheme="minorHAnsi" w:cstheme="minorHAnsi"/>
          <w:b/>
          <w:color w:val="auto"/>
          <w:sz w:val="20"/>
          <w:szCs w:val="20"/>
        </w:rPr>
        <w:t xml:space="preserve"> Calificaciones otorgadas:</w:t>
      </w:r>
      <w:bookmarkEnd w:id="13"/>
    </w:p>
    <w:p w14:paraId="67197CE9" w14:textId="77777777" w:rsidR="007D1E76" w:rsidRPr="009F6E4B" w:rsidRDefault="007D1E76" w:rsidP="00CB41C4">
      <w:pPr>
        <w:tabs>
          <w:tab w:val="left" w:leader="underscore" w:pos="9639"/>
        </w:tabs>
        <w:spacing w:after="0" w:line="240" w:lineRule="auto"/>
        <w:jc w:val="both"/>
        <w:rPr>
          <w:rFonts w:cs="Calibri"/>
          <w:sz w:val="20"/>
          <w:szCs w:val="20"/>
        </w:rPr>
      </w:pPr>
    </w:p>
    <w:p w14:paraId="57D9F68C" w14:textId="7777777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sz w:val="20"/>
          <w:szCs w:val="20"/>
        </w:rPr>
        <w:t>Informar, tanto del ente público como cualquier transacción realizada, que haya sido sujeta a una calificación crediticia:</w:t>
      </w:r>
    </w:p>
    <w:p w14:paraId="33DC1236" w14:textId="77777777" w:rsidR="006A65AB" w:rsidRPr="009F6E4B" w:rsidRDefault="006A65AB" w:rsidP="000F0656">
      <w:pPr>
        <w:spacing w:after="0"/>
        <w:jc w:val="both"/>
        <w:rPr>
          <w:rFonts w:cs="Arial"/>
          <w:b/>
          <w:bCs/>
          <w:sz w:val="20"/>
          <w:szCs w:val="20"/>
        </w:rPr>
      </w:pPr>
    </w:p>
    <w:p w14:paraId="523F94A0" w14:textId="5CCEC37D" w:rsidR="00295B79" w:rsidRPr="009F6E4B" w:rsidRDefault="00295B79" w:rsidP="00295B79">
      <w:pPr>
        <w:spacing w:after="0"/>
        <w:jc w:val="both"/>
        <w:rPr>
          <w:rFonts w:cs="Arial"/>
          <w:sz w:val="20"/>
          <w:szCs w:val="20"/>
        </w:rPr>
      </w:pPr>
      <w:r w:rsidRPr="009F6E4B">
        <w:rPr>
          <w:rFonts w:cs="Arial"/>
          <w:b/>
          <w:bCs/>
          <w:sz w:val="20"/>
          <w:szCs w:val="20"/>
        </w:rPr>
        <w:t>HR Ratings ratificó la calificación de HR AA+ con Perspectiva Estable</w:t>
      </w:r>
      <w:r w:rsidRPr="009F6E4B">
        <w:rPr>
          <w:rFonts w:cs="Arial"/>
          <w:sz w:val="20"/>
          <w:szCs w:val="20"/>
        </w:rPr>
        <w:t xml:space="preserve"> para el Municipio de Guanajuato, Estado de Guanajuato, al 31 de marzo de 2025.</w:t>
      </w:r>
    </w:p>
    <w:p w14:paraId="609BBCA1" w14:textId="77777777" w:rsidR="000F0656" w:rsidRPr="009F6E4B" w:rsidRDefault="000F0656" w:rsidP="000F0656">
      <w:pPr>
        <w:pStyle w:val="Default"/>
        <w:rPr>
          <w:sz w:val="20"/>
          <w:szCs w:val="20"/>
        </w:rPr>
      </w:pPr>
    </w:p>
    <w:p w14:paraId="36F1E7CD" w14:textId="3B31C3D1" w:rsidR="009E3E71" w:rsidRDefault="00295B79" w:rsidP="00D06A73">
      <w:pPr>
        <w:pStyle w:val="Default"/>
        <w:jc w:val="both"/>
        <w:rPr>
          <w:rFonts w:ascii="Calibri" w:hAnsi="Calibri"/>
          <w:color w:val="auto"/>
          <w:sz w:val="20"/>
          <w:szCs w:val="20"/>
          <w:lang w:eastAsia="en-US"/>
        </w:rPr>
      </w:pPr>
      <w:r w:rsidRPr="009F6E4B">
        <w:rPr>
          <w:rFonts w:ascii="Calibri" w:hAnsi="Calibri"/>
          <w:color w:val="auto"/>
          <w:sz w:val="20"/>
          <w:szCs w:val="20"/>
          <w:lang w:eastAsia="en-US"/>
        </w:rPr>
        <w:t xml:space="preserve">La ratificación de la calificación se debe a la expectativa de que el Municipio no haga uso de deuda en los próximos años. Al cierre de 2024, a pesar del uso de parte de la liquidez acumulada con la que contaba el Municipio en distintos programas y proyectos de inversión, cuyo fin fue fortalecer la seguridad pública y los servicios municipales ofrecidos, Guanajuato sostuvo una proporción de Deuda Neta (DN) a Ingresos de Libre Disposición (ILD) negativa, a la par de un </w:t>
      </w:r>
      <w:r w:rsidRPr="009F6E4B">
        <w:rPr>
          <w:rFonts w:ascii="Calibri" w:hAnsi="Calibri"/>
          <w:color w:val="auto"/>
          <w:sz w:val="20"/>
          <w:szCs w:val="20"/>
          <w:lang w:eastAsia="en-US"/>
        </w:rPr>
        <w:lastRenderedPageBreak/>
        <w:t>nulo Servicio de la Deuda (SD), en línea con lo estimado durante la revisión anterior. Para ejercicios posteriores, se espera que la Entidad reduzca su Gasto Total, debido a que el nivel de inversión ejercido en 2024 fue extraordinario; lo anterior, aunado a una tendencia creciente en los ILD, se supone se verá reflejado en un Balance Primario (BP) a Ingresos Totales (IT) equilibrado promedio entre 2025 y 2026. Con ello, así como con la expectativa de que la Entidad mantendrá el nulo uso de financiamiento de corto o largo plazo, se proyecta que la DN a ILD continuará en niveles negativos, mientras que el Pasivo Circulante (PC) a ILD mostraría un nivel medio de 10.1% entre 2025 y 2027.</w:t>
      </w:r>
    </w:p>
    <w:p w14:paraId="7F320589" w14:textId="77777777" w:rsidR="00D06A73" w:rsidRPr="00D06A73" w:rsidRDefault="00D06A73" w:rsidP="00D06A73">
      <w:pPr>
        <w:pStyle w:val="Default"/>
        <w:jc w:val="both"/>
        <w:rPr>
          <w:rFonts w:ascii="Calibri" w:hAnsi="Calibri"/>
          <w:color w:val="auto"/>
          <w:sz w:val="20"/>
          <w:szCs w:val="20"/>
          <w:lang w:eastAsia="en-US"/>
        </w:rPr>
      </w:pPr>
    </w:p>
    <w:p w14:paraId="7817D49E" w14:textId="671BF77A" w:rsidR="00B61F45" w:rsidRPr="00B61F45" w:rsidRDefault="00B61F45" w:rsidP="009E3E71">
      <w:pPr>
        <w:pStyle w:val="heading--6"/>
        <w:shd w:val="clear" w:color="auto" w:fill="FFFFFF"/>
        <w:spacing w:before="0" w:beforeAutospacing="0"/>
        <w:rPr>
          <w:rFonts w:ascii="Arial" w:hAnsi="Arial" w:cs="Arial"/>
          <w:b/>
          <w:bCs/>
          <w:caps/>
          <w:color w:val="000000"/>
        </w:rPr>
      </w:pPr>
      <w:r w:rsidRPr="009E3E71">
        <w:rPr>
          <w:rFonts w:ascii="Calibri" w:eastAsia="Calibri" w:hAnsi="Calibri" w:cs="Arial"/>
          <w:b/>
          <w:sz w:val="20"/>
          <w:szCs w:val="20"/>
          <w:lang w:eastAsia="en-US"/>
        </w:rPr>
        <w:t>F</w:t>
      </w:r>
      <w:r w:rsidRPr="00B61F45">
        <w:rPr>
          <w:rFonts w:ascii="Calibri" w:eastAsia="Calibri" w:hAnsi="Calibri" w:cs="Arial"/>
          <w:b/>
          <w:sz w:val="20"/>
          <w:szCs w:val="20"/>
          <w:lang w:eastAsia="en-US"/>
        </w:rPr>
        <w:t>itch Ratings afirmó la calificación nacional de largo plazo del municipio de Guanajuato, Guanajuato en ‘AAA(m</w:t>
      </w:r>
      <w:r w:rsidR="009E3E71" w:rsidRPr="009E3E71">
        <w:rPr>
          <w:rFonts w:ascii="Calibri" w:eastAsia="Calibri" w:hAnsi="Calibri" w:cs="Arial"/>
          <w:b/>
          <w:sz w:val="20"/>
          <w:szCs w:val="20"/>
          <w:lang w:eastAsia="en-US"/>
        </w:rPr>
        <w:t>ex)’</w:t>
      </w:r>
      <w:r w:rsidR="009E3E71" w:rsidRPr="009E3E71">
        <w:rPr>
          <w:rFonts w:ascii="Calibri" w:eastAsia="Calibri" w:hAnsi="Calibri" w:cs="Arial"/>
          <w:sz w:val="20"/>
          <w:szCs w:val="20"/>
          <w:lang w:eastAsia="en-US"/>
        </w:rPr>
        <w:t xml:space="preserve">. La Perspectiva es Estable, al </w:t>
      </w:r>
      <w:r w:rsidR="009E3E71" w:rsidRPr="009E3E71">
        <w:rPr>
          <w:rFonts w:ascii="Calibri" w:hAnsi="Calibri" w:cs="Arial"/>
          <w:sz w:val="20"/>
          <w:szCs w:val="20"/>
        </w:rPr>
        <w:t>12 junio 2025</w:t>
      </w:r>
    </w:p>
    <w:p w14:paraId="4544A9A9" w14:textId="77777777" w:rsidR="00B61F45" w:rsidRPr="00B61F45" w:rsidRDefault="00B61F45" w:rsidP="00B61F45">
      <w:pPr>
        <w:shd w:val="clear" w:color="auto" w:fill="FFFFFF"/>
        <w:spacing w:after="100" w:afterAutospacing="1" w:line="240" w:lineRule="auto"/>
        <w:rPr>
          <w:rFonts w:cs="Arial"/>
          <w:sz w:val="20"/>
          <w:szCs w:val="20"/>
        </w:rPr>
      </w:pPr>
      <w:r w:rsidRPr="00B61F45">
        <w:rPr>
          <w:rFonts w:cs="Arial"/>
          <w:sz w:val="20"/>
          <w:szCs w:val="20"/>
        </w:rPr>
        <w:t>La ratificación de la calificación del municipio se sustenta en la estabilidad de las métricas de deuda proyectadas en el escenario de calificación de Fitch, en combinación con una estabilidad en su generación de ingresos propios y una posición de liquidez favorable dado un endeudamiento inexistente. Asimismo, la calificación evalúa el perfil de riesgo en ‘Rango Medio Bajo’, un puntaje del perfil financiero en ‘aaa’ y un análisis adecuado frente a entidades pares. La agencia no identificó factores adicionales con efecto sobre la calificación del municipio.</w:t>
      </w:r>
    </w:p>
    <w:p w14:paraId="58BC0457" w14:textId="3D0B4617" w:rsidR="00A15053" w:rsidRPr="009F6E4B" w:rsidRDefault="00B61F45" w:rsidP="00D06A73">
      <w:pPr>
        <w:shd w:val="clear" w:color="auto" w:fill="FFFFFF"/>
        <w:spacing w:after="100" w:afterAutospacing="1" w:line="240" w:lineRule="auto"/>
        <w:rPr>
          <w:rFonts w:cs="Arial"/>
          <w:sz w:val="20"/>
          <w:szCs w:val="20"/>
        </w:rPr>
      </w:pPr>
      <w:r w:rsidRPr="00B61F45">
        <w:rPr>
          <w:rFonts w:cs="Arial"/>
          <w:sz w:val="20"/>
          <w:szCs w:val="20"/>
        </w:rPr>
        <w:t>La Perspectiva Estable refleja la expectativa de Fitch de que las métricas de endeudamiento se mantendrán dentro de las proyecciones.</w:t>
      </w:r>
    </w:p>
    <w:p w14:paraId="10B4C763" w14:textId="7FFDB478" w:rsidR="007D1E76" w:rsidRPr="009F6E4B" w:rsidRDefault="007D1E76" w:rsidP="000C3365">
      <w:pPr>
        <w:pStyle w:val="Ttulo2"/>
        <w:rPr>
          <w:rFonts w:asciiTheme="minorHAnsi" w:hAnsiTheme="minorHAnsi" w:cstheme="minorHAnsi"/>
          <w:b/>
          <w:color w:val="auto"/>
          <w:sz w:val="20"/>
          <w:szCs w:val="20"/>
        </w:rPr>
      </w:pPr>
      <w:bookmarkStart w:id="14" w:name="_Toc203572767"/>
      <w:r w:rsidRPr="009F6E4B">
        <w:rPr>
          <w:rFonts w:asciiTheme="minorHAnsi" w:hAnsiTheme="minorHAnsi" w:cstheme="minorHAnsi"/>
          <w:b/>
          <w:color w:val="auto"/>
          <w:sz w:val="20"/>
          <w:szCs w:val="20"/>
        </w:rPr>
        <w:t>1</w:t>
      </w:r>
      <w:r w:rsidR="00F6759B" w:rsidRPr="009F6E4B">
        <w:rPr>
          <w:rFonts w:asciiTheme="minorHAnsi" w:hAnsiTheme="minorHAnsi" w:cstheme="minorHAnsi"/>
          <w:b/>
          <w:color w:val="auto"/>
          <w:sz w:val="20"/>
          <w:szCs w:val="20"/>
        </w:rPr>
        <w:t>2</w:t>
      </w:r>
      <w:r w:rsidRPr="009F6E4B">
        <w:rPr>
          <w:rFonts w:asciiTheme="minorHAnsi" w:hAnsiTheme="minorHAnsi" w:cstheme="minorHAnsi"/>
          <w:b/>
          <w:color w:val="auto"/>
          <w:sz w:val="20"/>
          <w:szCs w:val="20"/>
        </w:rPr>
        <w:t>. Proceso de Mejora:</w:t>
      </w:r>
      <w:bookmarkEnd w:id="14"/>
    </w:p>
    <w:p w14:paraId="0251CC47" w14:textId="77777777" w:rsidR="007D1E76" w:rsidRPr="009F6E4B" w:rsidRDefault="007D1E76" w:rsidP="00CB41C4">
      <w:pPr>
        <w:tabs>
          <w:tab w:val="left" w:leader="underscore" w:pos="9639"/>
        </w:tabs>
        <w:spacing w:after="0" w:line="240" w:lineRule="auto"/>
        <w:jc w:val="both"/>
        <w:rPr>
          <w:rFonts w:cs="Calibri"/>
          <w:sz w:val="20"/>
          <w:szCs w:val="20"/>
        </w:rPr>
      </w:pPr>
    </w:p>
    <w:p w14:paraId="171672D2" w14:textId="7777777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sz w:val="20"/>
          <w:szCs w:val="20"/>
        </w:rPr>
        <w:t>Se informará de:</w:t>
      </w:r>
    </w:p>
    <w:p w14:paraId="533FB084" w14:textId="77777777" w:rsidR="007D1E76" w:rsidRPr="009F6E4B" w:rsidRDefault="007D1E76" w:rsidP="00CB41C4">
      <w:pPr>
        <w:tabs>
          <w:tab w:val="left" w:leader="underscore" w:pos="9639"/>
        </w:tabs>
        <w:spacing w:after="0" w:line="240" w:lineRule="auto"/>
        <w:jc w:val="both"/>
        <w:rPr>
          <w:rFonts w:cs="Calibri"/>
          <w:sz w:val="20"/>
          <w:szCs w:val="20"/>
        </w:rPr>
      </w:pPr>
    </w:p>
    <w:p w14:paraId="4D639AB5"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a) Principales Políticas de control interno:</w:t>
      </w:r>
    </w:p>
    <w:p w14:paraId="1BD51D41" w14:textId="77777777" w:rsidR="007D1E76" w:rsidRPr="009F6E4B" w:rsidRDefault="007D1E76" w:rsidP="00CB41C4">
      <w:pPr>
        <w:tabs>
          <w:tab w:val="left" w:leader="underscore" w:pos="9639"/>
        </w:tabs>
        <w:spacing w:after="0" w:line="240" w:lineRule="auto"/>
        <w:jc w:val="both"/>
        <w:rPr>
          <w:rFonts w:cs="Calibri"/>
          <w:sz w:val="20"/>
          <w:szCs w:val="20"/>
        </w:rPr>
      </w:pPr>
    </w:p>
    <w:p w14:paraId="123B7220" w14:textId="5463593E" w:rsidR="000F0656" w:rsidRPr="009F6E4B" w:rsidRDefault="000F0656" w:rsidP="000F0656">
      <w:pPr>
        <w:spacing w:after="0"/>
        <w:jc w:val="both"/>
        <w:rPr>
          <w:rFonts w:cs="Calibri"/>
          <w:sz w:val="20"/>
          <w:szCs w:val="20"/>
        </w:rPr>
      </w:pPr>
      <w:r w:rsidRPr="009F6E4B">
        <w:rPr>
          <w:rFonts w:cs="Arial"/>
          <w:sz w:val="20"/>
          <w:szCs w:val="20"/>
        </w:rPr>
        <w:t>Apego estricto a los Lineamientos Generales de Aust</w:t>
      </w:r>
      <w:r w:rsidR="00D77245" w:rsidRPr="009F6E4B">
        <w:rPr>
          <w:rFonts w:cs="Arial"/>
          <w:sz w:val="20"/>
          <w:szCs w:val="20"/>
        </w:rPr>
        <w:t>eridad y de Control Interno 2024</w:t>
      </w:r>
      <w:r w:rsidRPr="009F6E4B">
        <w:rPr>
          <w:rFonts w:cs="Arial"/>
          <w:sz w:val="20"/>
          <w:szCs w:val="20"/>
        </w:rPr>
        <w:t xml:space="preserve"> y Disposiciones Administrativas vigentes.</w:t>
      </w:r>
    </w:p>
    <w:p w14:paraId="34894C28" w14:textId="77777777" w:rsidR="000F0656" w:rsidRPr="009F6E4B" w:rsidRDefault="000F0656" w:rsidP="00CB41C4">
      <w:pPr>
        <w:tabs>
          <w:tab w:val="left" w:leader="underscore" w:pos="9639"/>
        </w:tabs>
        <w:spacing w:after="0" w:line="240" w:lineRule="auto"/>
        <w:jc w:val="both"/>
        <w:rPr>
          <w:rFonts w:cs="Calibri"/>
          <w:sz w:val="20"/>
          <w:szCs w:val="20"/>
        </w:rPr>
      </w:pPr>
    </w:p>
    <w:p w14:paraId="59CFF4B2" w14:textId="77777777" w:rsidR="007D1E76" w:rsidRPr="009F6E4B" w:rsidRDefault="007D1E76" w:rsidP="00CB41C4">
      <w:pPr>
        <w:tabs>
          <w:tab w:val="left" w:leader="underscore" w:pos="9639"/>
        </w:tabs>
        <w:spacing w:after="0" w:line="240" w:lineRule="auto"/>
        <w:jc w:val="both"/>
        <w:rPr>
          <w:rFonts w:cs="Calibri"/>
          <w:b/>
          <w:sz w:val="20"/>
          <w:szCs w:val="20"/>
        </w:rPr>
      </w:pPr>
      <w:r w:rsidRPr="009F6E4B">
        <w:rPr>
          <w:rFonts w:cs="Calibri"/>
          <w:b/>
          <w:sz w:val="20"/>
          <w:szCs w:val="20"/>
        </w:rPr>
        <w:t>b) Medidas de desempeño financiero, metas y alcance:</w:t>
      </w:r>
    </w:p>
    <w:p w14:paraId="1B5AEEC8" w14:textId="77777777" w:rsidR="00592A6D" w:rsidRPr="009F6E4B" w:rsidRDefault="00592A6D" w:rsidP="00D77245">
      <w:pPr>
        <w:spacing w:after="0"/>
        <w:jc w:val="both"/>
        <w:rPr>
          <w:rFonts w:cs="Arial"/>
          <w:sz w:val="20"/>
          <w:szCs w:val="20"/>
        </w:rPr>
      </w:pPr>
    </w:p>
    <w:p w14:paraId="524E4B7B" w14:textId="74AC919B" w:rsidR="00D77245" w:rsidRPr="009F6E4B" w:rsidRDefault="00D77245" w:rsidP="00D77245">
      <w:pPr>
        <w:spacing w:after="0"/>
        <w:jc w:val="both"/>
        <w:rPr>
          <w:rFonts w:cs="Calibri"/>
          <w:sz w:val="20"/>
          <w:szCs w:val="20"/>
        </w:rPr>
      </w:pPr>
      <w:r w:rsidRPr="009F6E4B">
        <w:rPr>
          <w:rFonts w:cs="Arial"/>
          <w:sz w:val="20"/>
          <w:szCs w:val="20"/>
        </w:rPr>
        <w:t>Se considera siempre el presupuesto aprobado por el H. Ayuntamiento, para la medición del desempeño financiero, los avances de las metas y sus alcances.</w:t>
      </w:r>
    </w:p>
    <w:p w14:paraId="6DD757EA" w14:textId="77777777" w:rsidR="007D1E76" w:rsidRPr="009F6E4B" w:rsidRDefault="007D1E76" w:rsidP="00CB41C4">
      <w:pPr>
        <w:tabs>
          <w:tab w:val="left" w:leader="underscore" w:pos="9639"/>
        </w:tabs>
        <w:spacing w:after="0" w:line="240" w:lineRule="auto"/>
        <w:jc w:val="both"/>
        <w:rPr>
          <w:rFonts w:cs="Calibri"/>
          <w:sz w:val="20"/>
          <w:szCs w:val="20"/>
        </w:rPr>
      </w:pPr>
    </w:p>
    <w:p w14:paraId="3D010C2A" w14:textId="279F5D07" w:rsidR="007D1E76" w:rsidRPr="009F6E4B" w:rsidRDefault="007D1E76" w:rsidP="000C3365">
      <w:pPr>
        <w:pStyle w:val="Ttulo2"/>
        <w:rPr>
          <w:rFonts w:asciiTheme="minorHAnsi" w:hAnsiTheme="minorHAnsi" w:cstheme="minorHAnsi"/>
          <w:b/>
          <w:color w:val="auto"/>
          <w:sz w:val="20"/>
          <w:szCs w:val="20"/>
        </w:rPr>
      </w:pPr>
      <w:bookmarkStart w:id="15" w:name="_Toc203572768"/>
      <w:r w:rsidRPr="009F6E4B">
        <w:rPr>
          <w:rFonts w:asciiTheme="minorHAnsi" w:hAnsiTheme="minorHAnsi" w:cstheme="minorHAnsi"/>
          <w:b/>
          <w:color w:val="auto"/>
          <w:sz w:val="20"/>
          <w:szCs w:val="20"/>
        </w:rPr>
        <w:t>1</w:t>
      </w:r>
      <w:r w:rsidR="00F6759B" w:rsidRPr="009F6E4B">
        <w:rPr>
          <w:rFonts w:asciiTheme="minorHAnsi" w:hAnsiTheme="minorHAnsi" w:cstheme="minorHAnsi"/>
          <w:b/>
          <w:color w:val="auto"/>
          <w:sz w:val="20"/>
          <w:szCs w:val="20"/>
        </w:rPr>
        <w:t>3</w:t>
      </w:r>
      <w:r w:rsidR="005E231E" w:rsidRPr="009F6E4B">
        <w:rPr>
          <w:rFonts w:asciiTheme="minorHAnsi" w:hAnsiTheme="minorHAnsi" w:cstheme="minorHAnsi"/>
          <w:b/>
          <w:color w:val="auto"/>
          <w:sz w:val="20"/>
          <w:szCs w:val="20"/>
        </w:rPr>
        <w:t>. Información por Segmentos:</w:t>
      </w:r>
      <w:bookmarkEnd w:id="15"/>
    </w:p>
    <w:p w14:paraId="6C3C6A04" w14:textId="77777777" w:rsidR="007D1E76" w:rsidRPr="009F6E4B" w:rsidRDefault="007D1E76" w:rsidP="00CB41C4">
      <w:pPr>
        <w:tabs>
          <w:tab w:val="left" w:leader="underscore" w:pos="9639"/>
        </w:tabs>
        <w:spacing w:after="0" w:line="240" w:lineRule="auto"/>
        <w:jc w:val="both"/>
        <w:rPr>
          <w:rFonts w:cs="Calibri"/>
          <w:sz w:val="20"/>
          <w:szCs w:val="20"/>
        </w:rPr>
      </w:pPr>
    </w:p>
    <w:p w14:paraId="64BC1596" w14:textId="46D52ADD" w:rsidR="007D1E76" w:rsidRPr="009F6E4B" w:rsidRDefault="00806269" w:rsidP="00CB41C4">
      <w:pPr>
        <w:tabs>
          <w:tab w:val="left" w:leader="underscore" w:pos="9639"/>
        </w:tabs>
        <w:spacing w:after="0" w:line="240" w:lineRule="auto"/>
        <w:jc w:val="both"/>
        <w:rPr>
          <w:rFonts w:cs="Calibri"/>
          <w:sz w:val="20"/>
          <w:szCs w:val="20"/>
        </w:rPr>
      </w:pPr>
      <w:r w:rsidRPr="009F6E4B">
        <w:rPr>
          <w:rFonts w:cs="Calibri"/>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9F6E4B">
        <w:rPr>
          <w:rFonts w:cs="Calibri"/>
          <w:sz w:val="20"/>
          <w:szCs w:val="20"/>
        </w:rPr>
        <w:t>.</w:t>
      </w:r>
    </w:p>
    <w:p w14:paraId="1E94F855" w14:textId="77777777" w:rsidR="007D1E76" w:rsidRPr="009F6E4B" w:rsidRDefault="007D1E76" w:rsidP="00CB41C4">
      <w:pPr>
        <w:tabs>
          <w:tab w:val="left" w:leader="underscore" w:pos="9639"/>
        </w:tabs>
        <w:spacing w:after="0" w:line="240" w:lineRule="auto"/>
        <w:jc w:val="both"/>
        <w:rPr>
          <w:rFonts w:cs="Calibri"/>
          <w:sz w:val="20"/>
          <w:szCs w:val="20"/>
        </w:rPr>
      </w:pPr>
    </w:p>
    <w:p w14:paraId="54078A60" w14:textId="7777777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sz w:val="20"/>
          <w:szCs w:val="20"/>
        </w:rPr>
        <w:t>Consecuentemente, esta información contribuye al análisis más preciso de la situación financiera, grados y fuentes de riesgo y crec</w:t>
      </w:r>
      <w:r w:rsidR="005E231E" w:rsidRPr="009F6E4B">
        <w:rPr>
          <w:rFonts w:cs="Calibri"/>
          <w:sz w:val="20"/>
          <w:szCs w:val="20"/>
        </w:rPr>
        <w:t>imiento potencial de negocio.</w:t>
      </w:r>
    </w:p>
    <w:p w14:paraId="4054793D" w14:textId="77777777" w:rsidR="007D1E76" w:rsidRPr="009F6E4B" w:rsidRDefault="007D1E76" w:rsidP="00CB41C4">
      <w:pPr>
        <w:tabs>
          <w:tab w:val="left" w:leader="underscore" w:pos="9639"/>
        </w:tabs>
        <w:spacing w:after="0" w:line="240" w:lineRule="auto"/>
        <w:jc w:val="both"/>
        <w:rPr>
          <w:rFonts w:cs="Calibri"/>
          <w:sz w:val="20"/>
          <w:szCs w:val="20"/>
        </w:rPr>
      </w:pPr>
    </w:p>
    <w:p w14:paraId="67988063" w14:textId="77777777" w:rsidR="00D77245" w:rsidRPr="009F6E4B" w:rsidRDefault="00D77245" w:rsidP="00D77245">
      <w:pPr>
        <w:spacing w:after="0"/>
        <w:jc w:val="both"/>
        <w:rPr>
          <w:rFonts w:cs="Calibri"/>
          <w:sz w:val="20"/>
          <w:szCs w:val="20"/>
        </w:rPr>
      </w:pPr>
      <w:r w:rsidRPr="009F6E4B">
        <w:rPr>
          <w:rFonts w:cs="Arial"/>
          <w:sz w:val="20"/>
          <w:szCs w:val="20"/>
        </w:rPr>
        <w:t>No se maneja la emisión de la información financiera en base a segmentos</w:t>
      </w:r>
    </w:p>
    <w:p w14:paraId="03BBF660" w14:textId="77777777" w:rsidR="007D1E76" w:rsidRPr="009F6E4B" w:rsidRDefault="007D1E76" w:rsidP="00CB41C4">
      <w:pPr>
        <w:tabs>
          <w:tab w:val="left" w:leader="underscore" w:pos="9639"/>
        </w:tabs>
        <w:spacing w:after="0" w:line="240" w:lineRule="auto"/>
        <w:jc w:val="both"/>
        <w:rPr>
          <w:rFonts w:cs="Calibri"/>
          <w:sz w:val="20"/>
          <w:szCs w:val="20"/>
        </w:rPr>
      </w:pPr>
    </w:p>
    <w:p w14:paraId="5CE772DA" w14:textId="7AAD6A4E" w:rsidR="007D1E76" w:rsidRPr="009F6E4B" w:rsidRDefault="007D1E76" w:rsidP="000C3365">
      <w:pPr>
        <w:pStyle w:val="Ttulo2"/>
        <w:rPr>
          <w:rFonts w:asciiTheme="minorHAnsi" w:hAnsiTheme="minorHAnsi" w:cstheme="minorHAnsi"/>
          <w:b/>
          <w:color w:val="auto"/>
          <w:sz w:val="20"/>
          <w:szCs w:val="20"/>
        </w:rPr>
      </w:pPr>
      <w:bookmarkStart w:id="16" w:name="_Toc203572769"/>
      <w:r w:rsidRPr="009F6E4B">
        <w:rPr>
          <w:rFonts w:asciiTheme="minorHAnsi" w:hAnsiTheme="minorHAnsi" w:cstheme="minorHAnsi"/>
          <w:b/>
          <w:color w:val="auto"/>
          <w:sz w:val="20"/>
          <w:szCs w:val="20"/>
        </w:rPr>
        <w:t>1</w:t>
      </w:r>
      <w:r w:rsidR="004A1077" w:rsidRPr="009F6E4B">
        <w:rPr>
          <w:rFonts w:asciiTheme="minorHAnsi" w:hAnsiTheme="minorHAnsi" w:cstheme="minorHAnsi"/>
          <w:b/>
          <w:color w:val="auto"/>
          <w:sz w:val="20"/>
          <w:szCs w:val="20"/>
        </w:rPr>
        <w:t>4</w:t>
      </w:r>
      <w:r w:rsidRPr="009F6E4B">
        <w:rPr>
          <w:rFonts w:asciiTheme="minorHAnsi" w:hAnsiTheme="minorHAnsi" w:cstheme="minorHAnsi"/>
          <w:b/>
          <w:color w:val="auto"/>
          <w:sz w:val="20"/>
          <w:szCs w:val="20"/>
        </w:rPr>
        <w:t>. E</w:t>
      </w:r>
      <w:r w:rsidR="005E231E" w:rsidRPr="009F6E4B">
        <w:rPr>
          <w:rFonts w:asciiTheme="minorHAnsi" w:hAnsiTheme="minorHAnsi" w:cstheme="minorHAnsi"/>
          <w:b/>
          <w:color w:val="auto"/>
          <w:sz w:val="20"/>
          <w:szCs w:val="20"/>
        </w:rPr>
        <w:t>ventos Posteriores al Cierre:</w:t>
      </w:r>
      <w:bookmarkEnd w:id="16"/>
    </w:p>
    <w:p w14:paraId="362DF4F4" w14:textId="77777777" w:rsidR="007D1E76" w:rsidRPr="009F6E4B" w:rsidRDefault="007D1E76" w:rsidP="00CB41C4">
      <w:pPr>
        <w:tabs>
          <w:tab w:val="left" w:leader="underscore" w:pos="9639"/>
        </w:tabs>
        <w:spacing w:after="0" w:line="240" w:lineRule="auto"/>
        <w:jc w:val="both"/>
        <w:rPr>
          <w:rFonts w:cs="Calibri"/>
          <w:sz w:val="20"/>
          <w:szCs w:val="20"/>
        </w:rPr>
      </w:pPr>
    </w:p>
    <w:p w14:paraId="1F33DAF4" w14:textId="2A6097C0" w:rsidR="00D77245" w:rsidRPr="009F6E4B" w:rsidRDefault="007D1E76" w:rsidP="001C34BC">
      <w:pPr>
        <w:tabs>
          <w:tab w:val="left" w:leader="underscore" w:pos="9639"/>
        </w:tabs>
        <w:spacing w:after="0" w:line="240" w:lineRule="auto"/>
        <w:jc w:val="both"/>
        <w:rPr>
          <w:rFonts w:cs="Calibri"/>
          <w:sz w:val="20"/>
          <w:szCs w:val="20"/>
        </w:rPr>
      </w:pPr>
      <w:r w:rsidRPr="009F6E4B">
        <w:rPr>
          <w:rFonts w:cs="Calibri"/>
          <w:sz w:val="20"/>
          <w:szCs w:val="20"/>
        </w:rPr>
        <w:t>El ente público informará el efecto en sus estados financieros de aquellos hechos ocurridos en el período posterior al que informa, que proporcionan mayor evidencia sobre eventos que le afectan económicamente y que no se cono</w:t>
      </w:r>
      <w:r w:rsidR="005E231E" w:rsidRPr="009F6E4B">
        <w:rPr>
          <w:rFonts w:cs="Calibri"/>
          <w:sz w:val="20"/>
          <w:szCs w:val="20"/>
        </w:rPr>
        <w:t>cían a la fecha de cierre.</w:t>
      </w:r>
      <w:r w:rsidR="005E231E" w:rsidRPr="009F6E4B">
        <w:rPr>
          <w:rFonts w:cs="Calibri"/>
          <w:sz w:val="20"/>
          <w:szCs w:val="20"/>
        </w:rPr>
        <w:cr/>
      </w:r>
    </w:p>
    <w:p w14:paraId="6268D065" w14:textId="77777777" w:rsidR="001C34BC" w:rsidRPr="009F6E4B" w:rsidRDefault="001C34BC" w:rsidP="001C34BC">
      <w:pPr>
        <w:tabs>
          <w:tab w:val="left" w:leader="underscore" w:pos="9639"/>
        </w:tabs>
        <w:spacing w:after="0" w:line="240" w:lineRule="auto"/>
        <w:jc w:val="both"/>
        <w:rPr>
          <w:rFonts w:cs="Calibri"/>
          <w:sz w:val="20"/>
          <w:szCs w:val="20"/>
        </w:rPr>
      </w:pPr>
    </w:p>
    <w:p w14:paraId="3CC9AECC" w14:textId="4681A2A9" w:rsidR="007D1E76" w:rsidRPr="009F6E4B" w:rsidRDefault="005E231E" w:rsidP="000C3365">
      <w:pPr>
        <w:pStyle w:val="Ttulo2"/>
        <w:rPr>
          <w:rFonts w:asciiTheme="minorHAnsi" w:hAnsiTheme="minorHAnsi" w:cstheme="minorHAnsi"/>
          <w:b/>
          <w:color w:val="auto"/>
          <w:sz w:val="20"/>
          <w:szCs w:val="20"/>
        </w:rPr>
      </w:pPr>
      <w:bookmarkStart w:id="17" w:name="_Toc203572770"/>
      <w:r w:rsidRPr="009F6E4B">
        <w:rPr>
          <w:rFonts w:asciiTheme="minorHAnsi" w:hAnsiTheme="minorHAnsi" w:cstheme="minorHAnsi"/>
          <w:b/>
          <w:color w:val="auto"/>
          <w:sz w:val="20"/>
          <w:szCs w:val="20"/>
        </w:rPr>
        <w:t>1</w:t>
      </w:r>
      <w:r w:rsidR="001C34BC" w:rsidRPr="009F6E4B">
        <w:rPr>
          <w:rFonts w:asciiTheme="minorHAnsi" w:hAnsiTheme="minorHAnsi" w:cstheme="minorHAnsi"/>
          <w:b/>
          <w:color w:val="auto"/>
          <w:sz w:val="20"/>
          <w:szCs w:val="20"/>
        </w:rPr>
        <w:t>5</w:t>
      </w:r>
      <w:r w:rsidRPr="009F6E4B">
        <w:rPr>
          <w:rFonts w:asciiTheme="minorHAnsi" w:hAnsiTheme="minorHAnsi" w:cstheme="minorHAnsi"/>
          <w:b/>
          <w:color w:val="auto"/>
          <w:sz w:val="20"/>
          <w:szCs w:val="20"/>
        </w:rPr>
        <w:t>. Partes Relacionadas:</w:t>
      </w:r>
      <w:bookmarkEnd w:id="17"/>
    </w:p>
    <w:p w14:paraId="20438A33" w14:textId="77777777" w:rsidR="007D1E76" w:rsidRPr="009F6E4B" w:rsidRDefault="007D1E76" w:rsidP="00CB41C4">
      <w:pPr>
        <w:tabs>
          <w:tab w:val="left" w:leader="underscore" w:pos="9639"/>
        </w:tabs>
        <w:spacing w:after="0" w:line="240" w:lineRule="auto"/>
        <w:jc w:val="both"/>
        <w:rPr>
          <w:rFonts w:cs="Calibri"/>
          <w:sz w:val="20"/>
          <w:szCs w:val="20"/>
        </w:rPr>
      </w:pPr>
    </w:p>
    <w:p w14:paraId="5A1981F2" w14:textId="77777777" w:rsidR="007D1E76" w:rsidRPr="009F6E4B" w:rsidRDefault="007D1E76" w:rsidP="00CB41C4">
      <w:pPr>
        <w:tabs>
          <w:tab w:val="left" w:leader="underscore" w:pos="9639"/>
        </w:tabs>
        <w:spacing w:after="0" w:line="240" w:lineRule="auto"/>
        <w:jc w:val="both"/>
        <w:rPr>
          <w:rFonts w:cs="Calibri"/>
          <w:sz w:val="20"/>
          <w:szCs w:val="20"/>
        </w:rPr>
      </w:pPr>
      <w:r w:rsidRPr="009F6E4B">
        <w:rPr>
          <w:rFonts w:cs="Calibri"/>
          <w:sz w:val="20"/>
          <w:szCs w:val="20"/>
        </w:rPr>
        <w:t>Se debe establecer por escrito que no existen partes relacionadas que pudieran ejercer influencia significativa sobre la toma de decisiones financieras y operativas:</w:t>
      </w:r>
    </w:p>
    <w:p w14:paraId="17CEED12" w14:textId="77777777" w:rsidR="007D1E76" w:rsidRPr="009F6E4B" w:rsidRDefault="007D1E76" w:rsidP="00CB41C4">
      <w:pPr>
        <w:tabs>
          <w:tab w:val="left" w:leader="underscore" w:pos="9639"/>
        </w:tabs>
        <w:spacing w:after="0" w:line="240" w:lineRule="auto"/>
        <w:jc w:val="both"/>
        <w:rPr>
          <w:rFonts w:cs="Calibri"/>
          <w:sz w:val="20"/>
          <w:szCs w:val="20"/>
        </w:rPr>
      </w:pPr>
    </w:p>
    <w:p w14:paraId="6CD6F899" w14:textId="77777777" w:rsidR="00D77245" w:rsidRPr="009F6E4B" w:rsidRDefault="00D77245" w:rsidP="00D77245">
      <w:pPr>
        <w:spacing w:after="0"/>
        <w:jc w:val="both"/>
        <w:rPr>
          <w:rFonts w:cs="Calibri"/>
          <w:sz w:val="20"/>
          <w:szCs w:val="20"/>
        </w:rPr>
      </w:pPr>
      <w:r w:rsidRPr="009F6E4B">
        <w:rPr>
          <w:rFonts w:cs="Arial"/>
          <w:sz w:val="20"/>
          <w:szCs w:val="20"/>
        </w:rPr>
        <w:t>No existen partes relacionadas que pudieran ejercer influencia significativa sobre la toma de decisiones financieras y operativas.</w:t>
      </w:r>
    </w:p>
    <w:p w14:paraId="60C47C07" w14:textId="77777777" w:rsidR="00D77245" w:rsidRPr="009F6E4B" w:rsidRDefault="00D77245" w:rsidP="00CB41C4">
      <w:pPr>
        <w:tabs>
          <w:tab w:val="left" w:leader="underscore" w:pos="9639"/>
        </w:tabs>
        <w:spacing w:after="0" w:line="240" w:lineRule="auto"/>
        <w:jc w:val="both"/>
        <w:rPr>
          <w:rFonts w:cs="Calibri"/>
          <w:sz w:val="20"/>
          <w:szCs w:val="20"/>
        </w:rPr>
      </w:pPr>
    </w:p>
    <w:p w14:paraId="1DFBBA85" w14:textId="77777777" w:rsidR="006A65AB" w:rsidRPr="009F6E4B" w:rsidRDefault="006A65AB" w:rsidP="00CB41C4">
      <w:pPr>
        <w:tabs>
          <w:tab w:val="left" w:leader="underscore" w:pos="9639"/>
        </w:tabs>
        <w:spacing w:after="0" w:line="240" w:lineRule="auto"/>
        <w:jc w:val="both"/>
        <w:rPr>
          <w:rFonts w:cs="Calibri"/>
          <w:sz w:val="20"/>
          <w:szCs w:val="20"/>
        </w:rPr>
      </w:pPr>
    </w:p>
    <w:p w14:paraId="24905817" w14:textId="15CB9212" w:rsidR="007D1E76" w:rsidRPr="009F6E4B" w:rsidRDefault="007D1E76" w:rsidP="006A65AB">
      <w:pPr>
        <w:pStyle w:val="Ttulo2"/>
        <w:rPr>
          <w:rFonts w:cs="Calibri"/>
          <w:sz w:val="20"/>
          <w:szCs w:val="20"/>
        </w:rPr>
      </w:pPr>
      <w:bookmarkStart w:id="18" w:name="_Toc203572771"/>
      <w:r w:rsidRPr="009F6E4B">
        <w:rPr>
          <w:rFonts w:asciiTheme="minorHAnsi" w:hAnsiTheme="minorHAnsi" w:cstheme="minorHAnsi"/>
          <w:b/>
          <w:color w:val="auto"/>
          <w:sz w:val="20"/>
          <w:szCs w:val="20"/>
        </w:rPr>
        <w:t>1</w:t>
      </w:r>
      <w:r w:rsidR="001C34BC" w:rsidRPr="009F6E4B">
        <w:rPr>
          <w:rFonts w:asciiTheme="minorHAnsi" w:hAnsiTheme="minorHAnsi" w:cstheme="minorHAnsi"/>
          <w:b/>
          <w:color w:val="auto"/>
          <w:sz w:val="20"/>
          <w:szCs w:val="20"/>
        </w:rPr>
        <w:t>6</w:t>
      </w:r>
      <w:r w:rsidRPr="009F6E4B">
        <w:rPr>
          <w:rFonts w:asciiTheme="minorHAnsi" w:hAnsiTheme="minorHAnsi" w:cstheme="minorHAnsi"/>
          <w:b/>
          <w:color w:val="auto"/>
          <w:sz w:val="20"/>
          <w:szCs w:val="20"/>
        </w:rPr>
        <w:t xml:space="preserve">. </w:t>
      </w:r>
      <w:r w:rsidR="001973A2" w:rsidRPr="009F6E4B">
        <w:rPr>
          <w:rFonts w:asciiTheme="minorHAnsi" w:hAnsiTheme="minorHAnsi" w:cstheme="minorHAnsi"/>
          <w:b/>
          <w:color w:val="auto"/>
          <w:sz w:val="20"/>
          <w:szCs w:val="20"/>
        </w:rPr>
        <w:t>Responsabilidad Sobre la Presentación Razonable de la Información Contable</w:t>
      </w:r>
      <w:r w:rsidR="005E231E" w:rsidRPr="009F6E4B">
        <w:rPr>
          <w:rFonts w:asciiTheme="minorHAnsi" w:hAnsiTheme="minorHAnsi" w:cstheme="minorHAnsi"/>
          <w:b/>
          <w:color w:val="auto"/>
          <w:sz w:val="20"/>
          <w:szCs w:val="20"/>
        </w:rPr>
        <w:t>:</w:t>
      </w:r>
      <w:bookmarkEnd w:id="18"/>
    </w:p>
    <w:p w14:paraId="2932D01B" w14:textId="77777777" w:rsidR="006A65AB" w:rsidRPr="009F6E4B" w:rsidRDefault="006A65AB" w:rsidP="00CB41C4">
      <w:pPr>
        <w:tabs>
          <w:tab w:val="left" w:leader="underscore" w:pos="9639"/>
        </w:tabs>
        <w:spacing w:after="0" w:line="240" w:lineRule="auto"/>
        <w:jc w:val="both"/>
        <w:rPr>
          <w:rFonts w:cs="Calibri"/>
          <w:sz w:val="20"/>
          <w:szCs w:val="20"/>
        </w:rPr>
      </w:pPr>
    </w:p>
    <w:p w14:paraId="7AD6BFD9" w14:textId="77777777" w:rsidR="006A65AB" w:rsidRPr="009F6E4B" w:rsidRDefault="006A65AB" w:rsidP="00CB41C4">
      <w:pPr>
        <w:tabs>
          <w:tab w:val="left" w:leader="underscore" w:pos="9639"/>
        </w:tabs>
        <w:spacing w:after="0" w:line="240" w:lineRule="auto"/>
        <w:jc w:val="both"/>
        <w:rPr>
          <w:rFonts w:cs="Calibri"/>
          <w:sz w:val="20"/>
          <w:szCs w:val="20"/>
        </w:rPr>
      </w:pPr>
    </w:p>
    <w:p w14:paraId="50903296" w14:textId="1D665BA6" w:rsidR="007D1E76" w:rsidRPr="009F6E4B" w:rsidRDefault="00C4625D" w:rsidP="00CB41C4">
      <w:pPr>
        <w:tabs>
          <w:tab w:val="left" w:leader="underscore" w:pos="9639"/>
        </w:tabs>
        <w:spacing w:after="0" w:line="240" w:lineRule="auto"/>
        <w:jc w:val="both"/>
        <w:rPr>
          <w:rFonts w:cs="Calibri"/>
          <w:sz w:val="20"/>
          <w:szCs w:val="20"/>
        </w:rPr>
      </w:pPr>
      <w:r w:rsidRPr="009F6E4B">
        <w:rPr>
          <w:rFonts w:cs="Calibri"/>
          <w:sz w:val="20"/>
          <w:szCs w:val="20"/>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9F6E4B">
        <w:rPr>
          <w:rFonts w:cs="Calibri"/>
          <w:sz w:val="20"/>
          <w:szCs w:val="20"/>
        </w:rPr>
        <w:t>.</w:t>
      </w:r>
    </w:p>
    <w:p w14:paraId="2092EF68" w14:textId="77777777" w:rsidR="00D5018E" w:rsidRPr="009F6E4B" w:rsidRDefault="00D5018E" w:rsidP="00D5018E">
      <w:pPr>
        <w:pBdr>
          <w:bottom w:val="single" w:sz="12" w:space="1" w:color="auto"/>
        </w:pBdr>
        <w:tabs>
          <w:tab w:val="left" w:leader="underscore" w:pos="9639"/>
        </w:tabs>
        <w:spacing w:after="0" w:line="240" w:lineRule="auto"/>
        <w:jc w:val="both"/>
        <w:rPr>
          <w:rFonts w:cs="Calibri"/>
          <w:sz w:val="20"/>
          <w:szCs w:val="20"/>
        </w:rPr>
      </w:pPr>
    </w:p>
    <w:p w14:paraId="16E74ADB" w14:textId="77777777" w:rsidR="00231FBE" w:rsidRPr="009F6E4B" w:rsidRDefault="00231FBE" w:rsidP="00D5018E">
      <w:pPr>
        <w:pBdr>
          <w:bottom w:val="single" w:sz="12" w:space="1" w:color="auto"/>
        </w:pBdr>
        <w:tabs>
          <w:tab w:val="left" w:leader="underscore" w:pos="9639"/>
        </w:tabs>
        <w:spacing w:after="0" w:line="240" w:lineRule="auto"/>
        <w:jc w:val="both"/>
        <w:rPr>
          <w:rFonts w:cs="Calibri"/>
          <w:sz w:val="20"/>
          <w:szCs w:val="20"/>
        </w:rPr>
      </w:pPr>
    </w:p>
    <w:p w14:paraId="3FF73356" w14:textId="77777777" w:rsidR="00D5018E" w:rsidRPr="009F6E4B" w:rsidRDefault="00D5018E" w:rsidP="00D5018E">
      <w:pPr>
        <w:tabs>
          <w:tab w:val="left" w:leader="underscore" w:pos="9639"/>
        </w:tabs>
        <w:spacing w:after="0" w:line="240" w:lineRule="auto"/>
        <w:jc w:val="both"/>
        <w:rPr>
          <w:rFonts w:asciiTheme="minorHAnsi" w:hAnsiTheme="minorHAnsi" w:cstheme="minorHAnsi"/>
          <w:b/>
          <w:sz w:val="20"/>
          <w:szCs w:val="20"/>
        </w:rPr>
      </w:pPr>
    </w:p>
    <w:p w14:paraId="74D16815" w14:textId="2901A860" w:rsidR="00D5018E" w:rsidRPr="009F6E4B" w:rsidRDefault="00D5018E" w:rsidP="00CB41C4">
      <w:pPr>
        <w:tabs>
          <w:tab w:val="left" w:leader="underscore" w:pos="9639"/>
        </w:tabs>
        <w:spacing w:after="0" w:line="240" w:lineRule="auto"/>
        <w:jc w:val="both"/>
        <w:rPr>
          <w:rFonts w:asciiTheme="minorHAnsi" w:hAnsiTheme="minorHAnsi" w:cstheme="minorHAnsi"/>
          <w:sz w:val="20"/>
          <w:szCs w:val="20"/>
        </w:rPr>
      </w:pPr>
      <w:r w:rsidRPr="009F6E4B">
        <w:rPr>
          <w:rFonts w:asciiTheme="minorHAnsi" w:hAnsiTheme="minorHAnsi" w:cstheme="minorHAnsi"/>
          <w:b/>
          <w:sz w:val="20"/>
          <w:szCs w:val="20"/>
        </w:rPr>
        <w:t>Nota 1</w:t>
      </w:r>
      <w:r w:rsidRPr="009F6E4B">
        <w:rPr>
          <w:rFonts w:asciiTheme="minorHAnsi" w:hAnsiTheme="minorHAnsi" w:cstheme="minorHAnsi"/>
          <w:sz w:val="20"/>
          <w:szCs w:val="20"/>
        </w:rPr>
        <w:t>: En cada una de las 1</w:t>
      </w:r>
      <w:r w:rsidR="005053EE" w:rsidRPr="009F6E4B">
        <w:rPr>
          <w:rFonts w:asciiTheme="minorHAnsi" w:hAnsiTheme="minorHAnsi" w:cstheme="minorHAnsi"/>
          <w:sz w:val="20"/>
          <w:szCs w:val="20"/>
        </w:rPr>
        <w:t>5</w:t>
      </w:r>
      <w:r w:rsidRPr="009F6E4B">
        <w:rPr>
          <w:rFonts w:asciiTheme="minorHAnsi" w:hAnsiTheme="minorHAnsi" w:cstheme="minorHAnsi"/>
          <w:sz w:val="20"/>
          <w:szCs w:val="20"/>
        </w:rPr>
        <w:t xml:space="preserve"> notas de gestión administrativa el ente público deberá poner la nota correspondiente o en su caso la leyenda “</w:t>
      </w:r>
      <w:r w:rsidRPr="009F6E4B">
        <w:rPr>
          <w:rFonts w:asciiTheme="minorHAnsi" w:hAnsiTheme="minorHAnsi" w:cstheme="minorHAnsi"/>
          <w:b/>
          <w:bCs/>
          <w:sz w:val="20"/>
          <w:szCs w:val="20"/>
        </w:rPr>
        <w:t>Esta nota no le aplica al ente público” y una breve explicación del motivo por el cual no le es aplicable</w:t>
      </w:r>
      <w:r w:rsidRPr="009F6E4B">
        <w:rPr>
          <w:rFonts w:asciiTheme="minorHAnsi" w:hAnsiTheme="minorHAnsi" w:cstheme="minorHAnsi"/>
          <w:sz w:val="20"/>
          <w:szCs w:val="20"/>
        </w:rPr>
        <w:t>.</w:t>
      </w:r>
      <w:r w:rsidR="000310EF" w:rsidRPr="009F6E4B">
        <w:rPr>
          <w:rFonts w:asciiTheme="minorHAnsi" w:hAnsiTheme="minorHAnsi" w:cstheme="minorHAnsi"/>
          <w:sz w:val="20"/>
          <w:szCs w:val="20"/>
        </w:rPr>
        <w:t xml:space="preserve"> 06-12-2022</w:t>
      </w:r>
    </w:p>
    <w:sectPr w:rsidR="00D5018E" w:rsidRPr="009F6E4B"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60E66" w14:textId="77777777" w:rsidR="005C1004" w:rsidRDefault="005C1004" w:rsidP="00E00323">
      <w:pPr>
        <w:spacing w:after="0" w:line="240" w:lineRule="auto"/>
      </w:pPr>
      <w:r>
        <w:separator/>
      </w:r>
    </w:p>
  </w:endnote>
  <w:endnote w:type="continuationSeparator" w:id="0">
    <w:p w14:paraId="02D6DC8E" w14:textId="77777777" w:rsidR="005C1004" w:rsidRDefault="005C100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0ED0401D" w14:textId="77777777" w:rsidR="00203E34" w:rsidRDefault="00203E34" w:rsidP="00D5630A">
        <w:pPr>
          <w:pStyle w:val="Piedepgina"/>
        </w:pPr>
      </w:p>
      <w:tbl>
        <w:tblPr>
          <w:tblW w:w="0" w:type="auto"/>
          <w:jc w:val="center"/>
          <w:tblLook w:val="04A0" w:firstRow="1" w:lastRow="0" w:firstColumn="1" w:lastColumn="0" w:noHBand="0" w:noVBand="1"/>
        </w:tblPr>
        <w:tblGrid>
          <w:gridCol w:w="3402"/>
          <w:gridCol w:w="3050"/>
          <w:gridCol w:w="3226"/>
        </w:tblGrid>
        <w:tr w:rsidR="00203E34" w:rsidRPr="004464E3" w14:paraId="34B920B6" w14:textId="77777777" w:rsidTr="00203E34">
          <w:trPr>
            <w:jc w:val="center"/>
          </w:trPr>
          <w:tc>
            <w:tcPr>
              <w:tcW w:w="3402" w:type="dxa"/>
            </w:tcPr>
            <w:p w14:paraId="66385839" w14:textId="77777777" w:rsidR="00203E34" w:rsidRPr="004464E3" w:rsidRDefault="00203E34" w:rsidP="00D5630A">
              <w:pPr>
                <w:tabs>
                  <w:tab w:val="left" w:pos="1260"/>
                </w:tabs>
                <w:spacing w:after="0"/>
                <w:jc w:val="center"/>
                <w:rPr>
                  <w:sz w:val="20"/>
                </w:rPr>
              </w:pPr>
              <w:r>
                <w:rPr>
                  <w:sz w:val="20"/>
                </w:rPr>
                <w:t>_______________________________</w:t>
              </w:r>
            </w:p>
          </w:tc>
          <w:tc>
            <w:tcPr>
              <w:tcW w:w="3050" w:type="dxa"/>
              <w:shd w:val="clear" w:color="auto" w:fill="auto"/>
            </w:tcPr>
            <w:p w14:paraId="1A9D6BAF" w14:textId="77777777" w:rsidR="00203E34" w:rsidRPr="004464E3" w:rsidRDefault="00203E34" w:rsidP="00D5630A">
              <w:pPr>
                <w:tabs>
                  <w:tab w:val="left" w:pos="1260"/>
                </w:tabs>
                <w:spacing w:after="0"/>
                <w:jc w:val="center"/>
                <w:rPr>
                  <w:sz w:val="20"/>
                </w:rPr>
              </w:pPr>
              <w:r>
                <w:rPr>
                  <w:sz w:val="20"/>
                </w:rPr>
                <w:t>_________________________</w:t>
              </w:r>
            </w:p>
          </w:tc>
          <w:tc>
            <w:tcPr>
              <w:tcW w:w="3226" w:type="dxa"/>
            </w:tcPr>
            <w:p w14:paraId="2438DE69" w14:textId="77777777" w:rsidR="00203E34" w:rsidRPr="004464E3" w:rsidRDefault="00203E34" w:rsidP="00D5630A">
              <w:pPr>
                <w:tabs>
                  <w:tab w:val="left" w:pos="1260"/>
                </w:tabs>
                <w:spacing w:after="0"/>
                <w:jc w:val="center"/>
                <w:rPr>
                  <w:sz w:val="20"/>
                </w:rPr>
              </w:pPr>
              <w:r>
                <w:rPr>
                  <w:sz w:val="20"/>
                </w:rPr>
                <w:t>_____________________________</w:t>
              </w:r>
            </w:p>
          </w:tc>
        </w:tr>
        <w:tr w:rsidR="00203E34" w:rsidRPr="004464E3" w14:paraId="765AFD11" w14:textId="77777777" w:rsidTr="00203E34">
          <w:trPr>
            <w:jc w:val="center"/>
          </w:trPr>
          <w:tc>
            <w:tcPr>
              <w:tcW w:w="3402" w:type="dxa"/>
            </w:tcPr>
            <w:p w14:paraId="3D28B34B" w14:textId="496A4FA6" w:rsidR="00203E34" w:rsidRPr="004464E3" w:rsidRDefault="00203E34" w:rsidP="00D5630A">
              <w:pPr>
                <w:tabs>
                  <w:tab w:val="left" w:pos="1260"/>
                </w:tabs>
                <w:spacing w:after="0" w:line="240" w:lineRule="auto"/>
                <w:jc w:val="center"/>
                <w:rPr>
                  <w:sz w:val="20"/>
                </w:rPr>
              </w:pPr>
              <w:r>
                <w:rPr>
                  <w:b/>
                  <w:bCs/>
                  <w:sz w:val="20"/>
                </w:rPr>
                <w:t>Arq. Samantha Smith Gutiérrez</w:t>
              </w:r>
            </w:p>
            <w:p w14:paraId="5D732188" w14:textId="5A124F7C" w:rsidR="00203E34" w:rsidRPr="004464E3" w:rsidRDefault="00203E34" w:rsidP="00D5630A">
              <w:pPr>
                <w:tabs>
                  <w:tab w:val="left" w:pos="1260"/>
                </w:tabs>
                <w:spacing w:after="0" w:line="240" w:lineRule="auto"/>
                <w:jc w:val="center"/>
                <w:rPr>
                  <w:sz w:val="20"/>
                </w:rPr>
              </w:pPr>
              <w:r>
                <w:rPr>
                  <w:b/>
                  <w:bCs/>
                  <w:sz w:val="20"/>
                </w:rPr>
                <w:t>Presidenta Municipal</w:t>
              </w:r>
            </w:p>
          </w:tc>
          <w:tc>
            <w:tcPr>
              <w:tcW w:w="3050" w:type="dxa"/>
            </w:tcPr>
            <w:p w14:paraId="24DA3DB8" w14:textId="78C10E10" w:rsidR="00203E34" w:rsidRDefault="00203E34" w:rsidP="00D5630A">
              <w:pPr>
                <w:tabs>
                  <w:tab w:val="left" w:pos="1260"/>
                </w:tabs>
                <w:spacing w:after="0" w:line="240" w:lineRule="auto"/>
                <w:jc w:val="center"/>
                <w:rPr>
                  <w:b/>
                  <w:bCs/>
                  <w:sz w:val="20"/>
                </w:rPr>
              </w:pPr>
              <w:r>
                <w:rPr>
                  <w:b/>
                  <w:bCs/>
                  <w:sz w:val="20"/>
                </w:rPr>
                <w:t xml:space="preserve">Lic. Ángel Ernesto Araujo Betanzos </w:t>
              </w:r>
            </w:p>
            <w:p w14:paraId="637E711E" w14:textId="279A6302" w:rsidR="00203E34" w:rsidRPr="004464E3" w:rsidRDefault="00203E34" w:rsidP="00D5630A">
              <w:pPr>
                <w:tabs>
                  <w:tab w:val="left" w:pos="1260"/>
                </w:tabs>
                <w:spacing w:after="0" w:line="240" w:lineRule="auto"/>
                <w:jc w:val="center"/>
                <w:rPr>
                  <w:sz w:val="20"/>
                </w:rPr>
              </w:pPr>
              <w:r>
                <w:rPr>
                  <w:b/>
                  <w:bCs/>
                  <w:sz w:val="20"/>
                </w:rPr>
                <w:t>Síndico</w:t>
              </w:r>
              <w:r w:rsidRPr="004464E3">
                <w:rPr>
                  <w:b/>
                  <w:bCs/>
                  <w:sz w:val="20"/>
                </w:rPr>
                <w:t xml:space="preserve"> del H. Ayuntamiento</w:t>
              </w:r>
            </w:p>
          </w:tc>
          <w:tc>
            <w:tcPr>
              <w:tcW w:w="3226" w:type="dxa"/>
            </w:tcPr>
            <w:p w14:paraId="04C66B5C" w14:textId="77777777" w:rsidR="00203E34" w:rsidRPr="004464E3" w:rsidRDefault="00203E34" w:rsidP="00D5630A">
              <w:pPr>
                <w:tabs>
                  <w:tab w:val="left" w:pos="1260"/>
                </w:tabs>
                <w:spacing w:after="0" w:line="240" w:lineRule="auto"/>
                <w:jc w:val="center"/>
                <w:rPr>
                  <w:sz w:val="20"/>
                </w:rPr>
              </w:pPr>
              <w:r>
                <w:rPr>
                  <w:b/>
                  <w:bCs/>
                  <w:sz w:val="20"/>
                </w:rPr>
                <w:t>C.P. Irma Mandujano García</w:t>
              </w:r>
            </w:p>
            <w:p w14:paraId="4B116BA2" w14:textId="77777777" w:rsidR="00203E34" w:rsidRPr="004464E3" w:rsidRDefault="00203E34" w:rsidP="00D5630A">
              <w:pPr>
                <w:tabs>
                  <w:tab w:val="left" w:pos="1260"/>
                </w:tabs>
                <w:spacing w:after="0" w:line="240" w:lineRule="auto"/>
                <w:jc w:val="center"/>
                <w:rPr>
                  <w:sz w:val="20"/>
                </w:rPr>
              </w:pPr>
              <w:r>
                <w:rPr>
                  <w:b/>
                  <w:bCs/>
                  <w:sz w:val="20"/>
                </w:rPr>
                <w:t>Tesorera</w:t>
              </w:r>
              <w:r w:rsidRPr="004464E3">
                <w:rPr>
                  <w:b/>
                  <w:bCs/>
                  <w:sz w:val="20"/>
                </w:rPr>
                <w:t xml:space="preserve"> Municipal</w:t>
              </w:r>
            </w:p>
          </w:tc>
        </w:tr>
      </w:tbl>
      <w:p w14:paraId="1BAB5F80" w14:textId="77777777" w:rsidR="00203E34" w:rsidRPr="00EA6E8C" w:rsidRDefault="00203E34" w:rsidP="00D5630A">
        <w:pPr>
          <w:tabs>
            <w:tab w:val="left" w:pos="1260"/>
          </w:tabs>
          <w:spacing w:after="0"/>
          <w:rPr>
            <w:b/>
            <w:i/>
            <w:sz w:val="16"/>
          </w:rPr>
        </w:pPr>
      </w:p>
      <w:p w14:paraId="187B81C0" w14:textId="77777777" w:rsidR="00203E34" w:rsidRPr="00F71996" w:rsidRDefault="00203E34" w:rsidP="00D5630A">
        <w:pPr>
          <w:tabs>
            <w:tab w:val="left" w:pos="1260"/>
          </w:tabs>
          <w:spacing w:after="0" w:line="240" w:lineRule="auto"/>
          <w:rPr>
            <w:b/>
            <w:i/>
            <w:sz w:val="16"/>
          </w:rPr>
        </w:pPr>
        <w:r w:rsidRPr="00EA6E8C">
          <w:rPr>
            <w:b/>
            <w:i/>
            <w:sz w:val="16"/>
          </w:rPr>
          <w:t>Bajo protesta de decir verdad declaramos que los Estados Financieros y sus notas, son razonablemente correctos y son responsabilidad del emisor.</w:t>
        </w:r>
      </w:p>
      <w:p w14:paraId="552D6AD4" w14:textId="77777777" w:rsidR="00203E34" w:rsidRDefault="00203E34" w:rsidP="00D5630A">
        <w:pPr>
          <w:pStyle w:val="Piedepgina"/>
          <w:jc w:val="center"/>
        </w:pPr>
        <w:r>
          <w:t xml:space="preserve">Página </w:t>
        </w:r>
        <w:sdt>
          <w:sdtPr>
            <w:id w:val="1099296862"/>
            <w:docPartObj>
              <w:docPartGallery w:val="Page Numbers (Bottom of Page)"/>
              <w:docPartUnique/>
            </w:docPartObj>
          </w:sdtPr>
          <w:sdtEndPr/>
          <w:sdtContent>
            <w:r>
              <w:fldChar w:fldCharType="begin"/>
            </w:r>
            <w:r>
              <w:instrText>PAGE   \* MERGEFORMAT</w:instrText>
            </w:r>
            <w:r>
              <w:fldChar w:fldCharType="separate"/>
            </w:r>
            <w:r w:rsidR="00603389" w:rsidRPr="00603389">
              <w:rPr>
                <w:noProof/>
                <w:lang w:val="es-ES"/>
              </w:rPr>
              <w:t>15</w:t>
            </w:r>
            <w:r>
              <w:fldChar w:fldCharType="end"/>
            </w:r>
          </w:sdtContent>
        </w:sdt>
      </w:p>
      <w:p w14:paraId="45A1378E" w14:textId="177F6EF4" w:rsidR="00203E34" w:rsidRDefault="005C1004" w:rsidP="00D5630A">
        <w:pPr>
          <w:pStyle w:val="Piedepgina"/>
        </w:pPr>
      </w:p>
    </w:sdtContent>
  </w:sdt>
  <w:p w14:paraId="37983FFD" w14:textId="77777777" w:rsidR="00203E34" w:rsidRDefault="00203E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8A832" w14:textId="77777777" w:rsidR="005C1004" w:rsidRDefault="005C1004" w:rsidP="00E00323">
      <w:pPr>
        <w:spacing w:after="0" w:line="240" w:lineRule="auto"/>
      </w:pPr>
      <w:r>
        <w:separator/>
      </w:r>
    </w:p>
  </w:footnote>
  <w:footnote w:type="continuationSeparator" w:id="0">
    <w:p w14:paraId="65644D00" w14:textId="77777777" w:rsidR="005C1004" w:rsidRDefault="005C1004"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D2B7F" w14:textId="3D696F8A" w:rsidR="00203E34" w:rsidRPr="004464E3" w:rsidRDefault="00203E34" w:rsidP="00BA34B4">
    <w:pPr>
      <w:pStyle w:val="Encabezado"/>
      <w:tabs>
        <w:tab w:val="left" w:pos="672"/>
        <w:tab w:val="left" w:pos="2988"/>
        <w:tab w:val="center" w:pos="4844"/>
      </w:tabs>
      <w:spacing w:after="0" w:line="240" w:lineRule="auto"/>
      <w:jc w:val="center"/>
      <w:rPr>
        <w:b/>
      </w:rPr>
    </w:pPr>
    <w:r>
      <w:rPr>
        <w:noProof/>
        <w:lang w:eastAsia="es-MX"/>
      </w:rPr>
      <w:drawing>
        <wp:anchor distT="0" distB="0" distL="114300" distR="114300" simplePos="0" relativeHeight="251659264" behindDoc="1" locked="0" layoutInCell="1" allowOverlap="1" wp14:anchorId="10E8D0B6" wp14:editId="72CF1348">
          <wp:simplePos x="0" y="0"/>
          <wp:positionH relativeFrom="margin">
            <wp:align>left</wp:align>
          </wp:positionH>
          <wp:positionV relativeFrom="paragraph">
            <wp:posOffset>-125730</wp:posOffset>
          </wp:positionV>
          <wp:extent cx="619125" cy="571162"/>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0829" t="10805" r="34494" b="18302"/>
                  <a:stretch/>
                </pic:blipFill>
                <pic:spPr bwMode="auto">
                  <a:xfrm>
                    <a:off x="0" y="0"/>
                    <a:ext cx="647340" cy="5971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64E3">
      <w:rPr>
        <w:b/>
      </w:rPr>
      <w:t>MUNICIPIO DE GUANAJUATO</w:t>
    </w:r>
  </w:p>
  <w:p w14:paraId="3ABAAE62" w14:textId="28F61760" w:rsidR="00203E34" w:rsidRDefault="00203E34" w:rsidP="008D73FA">
    <w:pPr>
      <w:pStyle w:val="Encabezado"/>
      <w:tabs>
        <w:tab w:val="left" w:pos="495"/>
        <w:tab w:val="left" w:pos="672"/>
        <w:tab w:val="center" w:pos="4844"/>
      </w:tabs>
      <w:spacing w:after="0" w:line="240" w:lineRule="auto"/>
      <w:rPr>
        <w:b/>
      </w:rPr>
    </w:pPr>
    <w:r>
      <w:rPr>
        <w:b/>
      </w:rPr>
      <w:tab/>
    </w:r>
    <w:r>
      <w:rPr>
        <w:b/>
      </w:rPr>
      <w:tab/>
    </w:r>
    <w:r>
      <w:rPr>
        <w:b/>
      </w:rPr>
      <w:tab/>
    </w:r>
    <w:r w:rsidRPr="004464E3">
      <w:rPr>
        <w:b/>
      </w:rPr>
      <w:t>CORRESPONDI</w:t>
    </w:r>
    <w:r w:rsidR="000A7BB1">
      <w:rPr>
        <w:b/>
      </w:rPr>
      <w:t>ENTES AL 30</w:t>
    </w:r>
    <w:r>
      <w:rPr>
        <w:b/>
      </w:rPr>
      <w:t xml:space="preserve"> DE </w:t>
    </w:r>
    <w:r w:rsidR="000A7BB1">
      <w:rPr>
        <w:b/>
      </w:rPr>
      <w:t>JUNIO</w:t>
    </w:r>
    <w:r>
      <w:rPr>
        <w:b/>
      </w:rPr>
      <w:t xml:space="preserve"> DE 202</w:t>
    </w:r>
    <w:r w:rsidR="00340A3C">
      <w:rPr>
        <w:b/>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60D22"/>
    <w:multiLevelType w:val="hybridMultilevel"/>
    <w:tmpl w:val="23306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7F4FE1"/>
    <w:multiLevelType w:val="hybridMultilevel"/>
    <w:tmpl w:val="48124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D16D7D"/>
    <w:multiLevelType w:val="multilevel"/>
    <w:tmpl w:val="34A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32C13"/>
    <w:multiLevelType w:val="hybridMultilevel"/>
    <w:tmpl w:val="212AD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166B2E"/>
    <w:multiLevelType w:val="multilevel"/>
    <w:tmpl w:val="0E60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1A78E2"/>
    <w:multiLevelType w:val="hybridMultilevel"/>
    <w:tmpl w:val="8F30A636"/>
    <w:lvl w:ilvl="0" w:tplc="924624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94A6E85"/>
    <w:multiLevelType w:val="hybridMultilevel"/>
    <w:tmpl w:val="7842F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7"/>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5CCE"/>
    <w:rsid w:val="00030413"/>
    <w:rsid w:val="000310EF"/>
    <w:rsid w:val="00040D4F"/>
    <w:rsid w:val="000722D8"/>
    <w:rsid w:val="00084EAE"/>
    <w:rsid w:val="00091CE6"/>
    <w:rsid w:val="000A7BB1"/>
    <w:rsid w:val="000B7810"/>
    <w:rsid w:val="000C3365"/>
    <w:rsid w:val="000C6F34"/>
    <w:rsid w:val="000E2B39"/>
    <w:rsid w:val="000E4C3A"/>
    <w:rsid w:val="000F0656"/>
    <w:rsid w:val="00106EE9"/>
    <w:rsid w:val="0012405A"/>
    <w:rsid w:val="0012493A"/>
    <w:rsid w:val="00154BA3"/>
    <w:rsid w:val="00163E45"/>
    <w:rsid w:val="0016736C"/>
    <w:rsid w:val="001771DF"/>
    <w:rsid w:val="00177339"/>
    <w:rsid w:val="001854D2"/>
    <w:rsid w:val="001973A2"/>
    <w:rsid w:val="001A004E"/>
    <w:rsid w:val="001C34BC"/>
    <w:rsid w:val="001C710C"/>
    <w:rsid w:val="001C75F2"/>
    <w:rsid w:val="001D2063"/>
    <w:rsid w:val="001D43E9"/>
    <w:rsid w:val="001D69D6"/>
    <w:rsid w:val="001E1EDE"/>
    <w:rsid w:val="00203E34"/>
    <w:rsid w:val="0021597D"/>
    <w:rsid w:val="00231FBE"/>
    <w:rsid w:val="00232175"/>
    <w:rsid w:val="0024740E"/>
    <w:rsid w:val="00261A4A"/>
    <w:rsid w:val="002722DD"/>
    <w:rsid w:val="0029578B"/>
    <w:rsid w:val="00295B72"/>
    <w:rsid w:val="00295B79"/>
    <w:rsid w:val="002A1D5B"/>
    <w:rsid w:val="002E1F53"/>
    <w:rsid w:val="002F79A2"/>
    <w:rsid w:val="00310C5E"/>
    <w:rsid w:val="00340A3C"/>
    <w:rsid w:val="003453CA"/>
    <w:rsid w:val="00396D53"/>
    <w:rsid w:val="003B33D2"/>
    <w:rsid w:val="003C0E8B"/>
    <w:rsid w:val="003D47A4"/>
    <w:rsid w:val="003E6C64"/>
    <w:rsid w:val="00412EEB"/>
    <w:rsid w:val="0043078C"/>
    <w:rsid w:val="00430E61"/>
    <w:rsid w:val="0043484C"/>
    <w:rsid w:val="00435A87"/>
    <w:rsid w:val="004403CE"/>
    <w:rsid w:val="004620C5"/>
    <w:rsid w:val="00482708"/>
    <w:rsid w:val="0048723B"/>
    <w:rsid w:val="004928EA"/>
    <w:rsid w:val="004A1077"/>
    <w:rsid w:val="004A3659"/>
    <w:rsid w:val="004A58C8"/>
    <w:rsid w:val="004C63B1"/>
    <w:rsid w:val="004C66D2"/>
    <w:rsid w:val="004C7312"/>
    <w:rsid w:val="004D77BE"/>
    <w:rsid w:val="004F234D"/>
    <w:rsid w:val="004F6FAC"/>
    <w:rsid w:val="00504B51"/>
    <w:rsid w:val="005053EE"/>
    <w:rsid w:val="00516100"/>
    <w:rsid w:val="00516A8F"/>
    <w:rsid w:val="00516E2E"/>
    <w:rsid w:val="00540261"/>
    <w:rsid w:val="0054701E"/>
    <w:rsid w:val="0057148C"/>
    <w:rsid w:val="005832CC"/>
    <w:rsid w:val="0058492E"/>
    <w:rsid w:val="00592A6D"/>
    <w:rsid w:val="005A651E"/>
    <w:rsid w:val="005B478F"/>
    <w:rsid w:val="005B5531"/>
    <w:rsid w:val="005C1004"/>
    <w:rsid w:val="005D3E43"/>
    <w:rsid w:val="005E231E"/>
    <w:rsid w:val="005F2900"/>
    <w:rsid w:val="005F51CC"/>
    <w:rsid w:val="00603389"/>
    <w:rsid w:val="0064059E"/>
    <w:rsid w:val="00654F1D"/>
    <w:rsid w:val="00657009"/>
    <w:rsid w:val="00673F8C"/>
    <w:rsid w:val="00681682"/>
    <w:rsid w:val="00681C79"/>
    <w:rsid w:val="006871CB"/>
    <w:rsid w:val="006A3515"/>
    <w:rsid w:val="006A65AB"/>
    <w:rsid w:val="006B0836"/>
    <w:rsid w:val="006B1ADF"/>
    <w:rsid w:val="006B5FE1"/>
    <w:rsid w:val="006C03EA"/>
    <w:rsid w:val="006C1127"/>
    <w:rsid w:val="006F0687"/>
    <w:rsid w:val="006F77A8"/>
    <w:rsid w:val="00726802"/>
    <w:rsid w:val="00747A3B"/>
    <w:rsid w:val="00751251"/>
    <w:rsid w:val="007610BC"/>
    <w:rsid w:val="00761960"/>
    <w:rsid w:val="007714AB"/>
    <w:rsid w:val="00774F33"/>
    <w:rsid w:val="00794EC0"/>
    <w:rsid w:val="007B563B"/>
    <w:rsid w:val="007D1E76"/>
    <w:rsid w:val="007D4484"/>
    <w:rsid w:val="007E38A2"/>
    <w:rsid w:val="007E3F3E"/>
    <w:rsid w:val="007F699D"/>
    <w:rsid w:val="00806269"/>
    <w:rsid w:val="00806C98"/>
    <w:rsid w:val="00807C3B"/>
    <w:rsid w:val="00837E88"/>
    <w:rsid w:val="00837F59"/>
    <w:rsid w:val="00854ADF"/>
    <w:rsid w:val="0086420E"/>
    <w:rsid w:val="0086459F"/>
    <w:rsid w:val="00881E50"/>
    <w:rsid w:val="00891A96"/>
    <w:rsid w:val="008931AA"/>
    <w:rsid w:val="008C3BB8"/>
    <w:rsid w:val="008D73FA"/>
    <w:rsid w:val="008E076C"/>
    <w:rsid w:val="00917839"/>
    <w:rsid w:val="0092765C"/>
    <w:rsid w:val="00967DDA"/>
    <w:rsid w:val="009736CB"/>
    <w:rsid w:val="009863A1"/>
    <w:rsid w:val="009C372B"/>
    <w:rsid w:val="009E3E71"/>
    <w:rsid w:val="009F6E4B"/>
    <w:rsid w:val="00A1081E"/>
    <w:rsid w:val="00A1248E"/>
    <w:rsid w:val="00A15053"/>
    <w:rsid w:val="00A20D60"/>
    <w:rsid w:val="00A45A6E"/>
    <w:rsid w:val="00A4610E"/>
    <w:rsid w:val="00A6346D"/>
    <w:rsid w:val="00A65256"/>
    <w:rsid w:val="00A730E0"/>
    <w:rsid w:val="00A7780B"/>
    <w:rsid w:val="00A90973"/>
    <w:rsid w:val="00A93B94"/>
    <w:rsid w:val="00AA2768"/>
    <w:rsid w:val="00AA41E5"/>
    <w:rsid w:val="00AB4AA1"/>
    <w:rsid w:val="00AB722B"/>
    <w:rsid w:val="00AD5C80"/>
    <w:rsid w:val="00AE1F6A"/>
    <w:rsid w:val="00AF4375"/>
    <w:rsid w:val="00AF70FD"/>
    <w:rsid w:val="00B073DE"/>
    <w:rsid w:val="00B07431"/>
    <w:rsid w:val="00B61F45"/>
    <w:rsid w:val="00B6368B"/>
    <w:rsid w:val="00B86907"/>
    <w:rsid w:val="00BA34B4"/>
    <w:rsid w:val="00BA53FE"/>
    <w:rsid w:val="00BB7FDF"/>
    <w:rsid w:val="00BC4C6B"/>
    <w:rsid w:val="00BD451A"/>
    <w:rsid w:val="00BD5F2D"/>
    <w:rsid w:val="00BE02EB"/>
    <w:rsid w:val="00BE1EC4"/>
    <w:rsid w:val="00BF1337"/>
    <w:rsid w:val="00C34FD2"/>
    <w:rsid w:val="00C4250B"/>
    <w:rsid w:val="00C4625D"/>
    <w:rsid w:val="00C54C12"/>
    <w:rsid w:val="00C67E8E"/>
    <w:rsid w:val="00C91A7D"/>
    <w:rsid w:val="00C93C67"/>
    <w:rsid w:val="00C97E1E"/>
    <w:rsid w:val="00CA32EA"/>
    <w:rsid w:val="00CB41C4"/>
    <w:rsid w:val="00CD499A"/>
    <w:rsid w:val="00CF1316"/>
    <w:rsid w:val="00D06A73"/>
    <w:rsid w:val="00D10C8E"/>
    <w:rsid w:val="00D13C44"/>
    <w:rsid w:val="00D32331"/>
    <w:rsid w:val="00D40FC2"/>
    <w:rsid w:val="00D42BFB"/>
    <w:rsid w:val="00D455F3"/>
    <w:rsid w:val="00D5018E"/>
    <w:rsid w:val="00D5049C"/>
    <w:rsid w:val="00D546B2"/>
    <w:rsid w:val="00D5630A"/>
    <w:rsid w:val="00D71762"/>
    <w:rsid w:val="00D77245"/>
    <w:rsid w:val="00D81C6C"/>
    <w:rsid w:val="00D84CC2"/>
    <w:rsid w:val="00D8648E"/>
    <w:rsid w:val="00D90479"/>
    <w:rsid w:val="00D975B1"/>
    <w:rsid w:val="00DD018C"/>
    <w:rsid w:val="00E00323"/>
    <w:rsid w:val="00E11758"/>
    <w:rsid w:val="00E16610"/>
    <w:rsid w:val="00E352CB"/>
    <w:rsid w:val="00E74967"/>
    <w:rsid w:val="00E7559F"/>
    <w:rsid w:val="00E85520"/>
    <w:rsid w:val="00E9132F"/>
    <w:rsid w:val="00EA37F5"/>
    <w:rsid w:val="00EA7915"/>
    <w:rsid w:val="00EB141D"/>
    <w:rsid w:val="00EC077C"/>
    <w:rsid w:val="00ED7AA0"/>
    <w:rsid w:val="00F067C8"/>
    <w:rsid w:val="00F4110D"/>
    <w:rsid w:val="00F43AC5"/>
    <w:rsid w:val="00F46719"/>
    <w:rsid w:val="00F54F6F"/>
    <w:rsid w:val="00F60DC2"/>
    <w:rsid w:val="00F6102D"/>
    <w:rsid w:val="00F65A92"/>
    <w:rsid w:val="00F6759B"/>
    <w:rsid w:val="00F92F58"/>
    <w:rsid w:val="00FA067D"/>
    <w:rsid w:val="00FA4166"/>
    <w:rsid w:val="00FC1AE8"/>
    <w:rsid w:val="00FC36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1771DF"/>
    <w:rPr>
      <w:sz w:val="22"/>
      <w:szCs w:val="22"/>
      <w:lang w:eastAsia="en-US"/>
    </w:rPr>
  </w:style>
  <w:style w:type="paragraph" w:customStyle="1" w:styleId="Default">
    <w:name w:val="Default"/>
    <w:rsid w:val="002F79A2"/>
    <w:pPr>
      <w:autoSpaceDE w:val="0"/>
      <w:autoSpaceDN w:val="0"/>
      <w:adjustRightInd w:val="0"/>
    </w:pPr>
    <w:rPr>
      <w:rFonts w:ascii="Arial" w:hAnsi="Arial" w:cs="Arial"/>
      <w:color w:val="000000"/>
      <w:sz w:val="24"/>
      <w:szCs w:val="24"/>
    </w:rPr>
  </w:style>
  <w:style w:type="paragraph" w:customStyle="1" w:styleId="Estndar">
    <w:name w:val="Estándar"/>
    <w:rsid w:val="00C91A7D"/>
    <w:rPr>
      <w:rFonts w:ascii="Times New Roman" w:eastAsia="Times New Roman" w:hAnsi="Times New Roman"/>
      <w:snapToGrid w:val="0"/>
      <w:color w:val="000000"/>
      <w:sz w:val="24"/>
      <w:lang w:val="es-ES" w:eastAsia="es-ES"/>
    </w:rPr>
  </w:style>
  <w:style w:type="character" w:customStyle="1" w:styleId="Mencinsinresolver1">
    <w:name w:val="Mención sin resolver1"/>
    <w:basedOn w:val="Fuentedeprrafopredeter"/>
    <w:uiPriority w:val="99"/>
    <w:semiHidden/>
    <w:unhideWhenUsed/>
    <w:rsid w:val="002E1F53"/>
    <w:rPr>
      <w:color w:val="605E5C"/>
      <w:shd w:val="clear" w:color="auto" w:fill="E1DFDD"/>
    </w:rPr>
  </w:style>
  <w:style w:type="character" w:styleId="Textoennegrita">
    <w:name w:val="Strong"/>
    <w:basedOn w:val="Fuentedeprrafopredeter"/>
    <w:uiPriority w:val="22"/>
    <w:qFormat/>
    <w:rsid w:val="00203E34"/>
    <w:rPr>
      <w:b/>
      <w:bCs/>
    </w:rPr>
  </w:style>
  <w:style w:type="paragraph" w:customStyle="1" w:styleId="paragraph">
    <w:name w:val="paragraph"/>
    <w:basedOn w:val="Normal"/>
    <w:rsid w:val="00D10C8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heading--6">
    <w:name w:val="heading--6"/>
    <w:basedOn w:val="Normal"/>
    <w:rsid w:val="00B61F45"/>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08720">
      <w:bodyDiv w:val="1"/>
      <w:marLeft w:val="0"/>
      <w:marRight w:val="0"/>
      <w:marTop w:val="0"/>
      <w:marBottom w:val="0"/>
      <w:divBdr>
        <w:top w:val="none" w:sz="0" w:space="0" w:color="auto"/>
        <w:left w:val="none" w:sz="0" w:space="0" w:color="auto"/>
        <w:bottom w:val="none" w:sz="0" w:space="0" w:color="auto"/>
        <w:right w:val="none" w:sz="0" w:space="0" w:color="auto"/>
      </w:divBdr>
    </w:div>
    <w:div w:id="158081313">
      <w:bodyDiv w:val="1"/>
      <w:marLeft w:val="0"/>
      <w:marRight w:val="0"/>
      <w:marTop w:val="0"/>
      <w:marBottom w:val="0"/>
      <w:divBdr>
        <w:top w:val="none" w:sz="0" w:space="0" w:color="auto"/>
        <w:left w:val="none" w:sz="0" w:space="0" w:color="auto"/>
        <w:bottom w:val="none" w:sz="0" w:space="0" w:color="auto"/>
        <w:right w:val="none" w:sz="0" w:space="0" w:color="auto"/>
      </w:divBdr>
    </w:div>
    <w:div w:id="212424345">
      <w:bodyDiv w:val="1"/>
      <w:marLeft w:val="0"/>
      <w:marRight w:val="0"/>
      <w:marTop w:val="0"/>
      <w:marBottom w:val="0"/>
      <w:divBdr>
        <w:top w:val="none" w:sz="0" w:space="0" w:color="auto"/>
        <w:left w:val="none" w:sz="0" w:space="0" w:color="auto"/>
        <w:bottom w:val="none" w:sz="0" w:space="0" w:color="auto"/>
        <w:right w:val="none" w:sz="0" w:space="0" w:color="auto"/>
      </w:divBdr>
    </w:div>
    <w:div w:id="295569014">
      <w:bodyDiv w:val="1"/>
      <w:marLeft w:val="0"/>
      <w:marRight w:val="0"/>
      <w:marTop w:val="0"/>
      <w:marBottom w:val="0"/>
      <w:divBdr>
        <w:top w:val="none" w:sz="0" w:space="0" w:color="auto"/>
        <w:left w:val="none" w:sz="0" w:space="0" w:color="auto"/>
        <w:bottom w:val="none" w:sz="0" w:space="0" w:color="auto"/>
        <w:right w:val="none" w:sz="0" w:space="0" w:color="auto"/>
      </w:divBdr>
    </w:div>
    <w:div w:id="360205097">
      <w:bodyDiv w:val="1"/>
      <w:marLeft w:val="0"/>
      <w:marRight w:val="0"/>
      <w:marTop w:val="0"/>
      <w:marBottom w:val="0"/>
      <w:divBdr>
        <w:top w:val="none" w:sz="0" w:space="0" w:color="auto"/>
        <w:left w:val="none" w:sz="0" w:space="0" w:color="auto"/>
        <w:bottom w:val="none" w:sz="0" w:space="0" w:color="auto"/>
        <w:right w:val="none" w:sz="0" w:space="0" w:color="auto"/>
      </w:divBdr>
    </w:div>
    <w:div w:id="628823113">
      <w:bodyDiv w:val="1"/>
      <w:marLeft w:val="0"/>
      <w:marRight w:val="0"/>
      <w:marTop w:val="0"/>
      <w:marBottom w:val="0"/>
      <w:divBdr>
        <w:top w:val="none" w:sz="0" w:space="0" w:color="auto"/>
        <w:left w:val="none" w:sz="0" w:space="0" w:color="auto"/>
        <w:bottom w:val="none" w:sz="0" w:space="0" w:color="auto"/>
        <w:right w:val="none" w:sz="0" w:space="0" w:color="auto"/>
      </w:divBdr>
    </w:div>
    <w:div w:id="743990825">
      <w:bodyDiv w:val="1"/>
      <w:marLeft w:val="0"/>
      <w:marRight w:val="0"/>
      <w:marTop w:val="0"/>
      <w:marBottom w:val="0"/>
      <w:divBdr>
        <w:top w:val="none" w:sz="0" w:space="0" w:color="auto"/>
        <w:left w:val="none" w:sz="0" w:space="0" w:color="auto"/>
        <w:bottom w:val="none" w:sz="0" w:space="0" w:color="auto"/>
        <w:right w:val="none" w:sz="0" w:space="0" w:color="auto"/>
      </w:divBdr>
    </w:div>
    <w:div w:id="956258545">
      <w:bodyDiv w:val="1"/>
      <w:marLeft w:val="0"/>
      <w:marRight w:val="0"/>
      <w:marTop w:val="0"/>
      <w:marBottom w:val="0"/>
      <w:divBdr>
        <w:top w:val="none" w:sz="0" w:space="0" w:color="auto"/>
        <w:left w:val="none" w:sz="0" w:space="0" w:color="auto"/>
        <w:bottom w:val="none" w:sz="0" w:space="0" w:color="auto"/>
        <w:right w:val="none" w:sz="0" w:space="0" w:color="auto"/>
      </w:divBdr>
    </w:div>
    <w:div w:id="1125730594">
      <w:bodyDiv w:val="1"/>
      <w:marLeft w:val="0"/>
      <w:marRight w:val="0"/>
      <w:marTop w:val="0"/>
      <w:marBottom w:val="0"/>
      <w:divBdr>
        <w:top w:val="none" w:sz="0" w:space="0" w:color="auto"/>
        <w:left w:val="none" w:sz="0" w:space="0" w:color="auto"/>
        <w:bottom w:val="none" w:sz="0" w:space="0" w:color="auto"/>
        <w:right w:val="none" w:sz="0" w:space="0" w:color="auto"/>
      </w:divBdr>
    </w:div>
    <w:div w:id="1147627248">
      <w:bodyDiv w:val="1"/>
      <w:marLeft w:val="0"/>
      <w:marRight w:val="0"/>
      <w:marTop w:val="0"/>
      <w:marBottom w:val="0"/>
      <w:divBdr>
        <w:top w:val="none" w:sz="0" w:space="0" w:color="auto"/>
        <w:left w:val="none" w:sz="0" w:space="0" w:color="auto"/>
        <w:bottom w:val="none" w:sz="0" w:space="0" w:color="auto"/>
        <w:right w:val="none" w:sz="0" w:space="0" w:color="auto"/>
      </w:divBdr>
    </w:div>
    <w:div w:id="1155146916">
      <w:bodyDiv w:val="1"/>
      <w:marLeft w:val="0"/>
      <w:marRight w:val="0"/>
      <w:marTop w:val="0"/>
      <w:marBottom w:val="0"/>
      <w:divBdr>
        <w:top w:val="none" w:sz="0" w:space="0" w:color="auto"/>
        <w:left w:val="none" w:sz="0" w:space="0" w:color="auto"/>
        <w:bottom w:val="none" w:sz="0" w:space="0" w:color="auto"/>
        <w:right w:val="none" w:sz="0" w:space="0" w:color="auto"/>
      </w:divBdr>
    </w:div>
    <w:div w:id="1168129704">
      <w:bodyDiv w:val="1"/>
      <w:marLeft w:val="0"/>
      <w:marRight w:val="0"/>
      <w:marTop w:val="0"/>
      <w:marBottom w:val="0"/>
      <w:divBdr>
        <w:top w:val="none" w:sz="0" w:space="0" w:color="auto"/>
        <w:left w:val="none" w:sz="0" w:space="0" w:color="auto"/>
        <w:bottom w:val="none" w:sz="0" w:space="0" w:color="auto"/>
        <w:right w:val="none" w:sz="0" w:space="0" w:color="auto"/>
      </w:divBdr>
    </w:div>
    <w:div w:id="1197045289">
      <w:bodyDiv w:val="1"/>
      <w:marLeft w:val="0"/>
      <w:marRight w:val="0"/>
      <w:marTop w:val="0"/>
      <w:marBottom w:val="0"/>
      <w:divBdr>
        <w:top w:val="none" w:sz="0" w:space="0" w:color="auto"/>
        <w:left w:val="none" w:sz="0" w:space="0" w:color="auto"/>
        <w:bottom w:val="none" w:sz="0" w:space="0" w:color="auto"/>
        <w:right w:val="none" w:sz="0" w:space="0" w:color="auto"/>
      </w:divBdr>
    </w:div>
    <w:div w:id="1212838126">
      <w:bodyDiv w:val="1"/>
      <w:marLeft w:val="0"/>
      <w:marRight w:val="0"/>
      <w:marTop w:val="0"/>
      <w:marBottom w:val="0"/>
      <w:divBdr>
        <w:top w:val="none" w:sz="0" w:space="0" w:color="auto"/>
        <w:left w:val="none" w:sz="0" w:space="0" w:color="auto"/>
        <w:bottom w:val="none" w:sz="0" w:space="0" w:color="auto"/>
        <w:right w:val="none" w:sz="0" w:space="0" w:color="auto"/>
      </w:divBdr>
    </w:div>
    <w:div w:id="1303733616">
      <w:bodyDiv w:val="1"/>
      <w:marLeft w:val="0"/>
      <w:marRight w:val="0"/>
      <w:marTop w:val="0"/>
      <w:marBottom w:val="0"/>
      <w:divBdr>
        <w:top w:val="none" w:sz="0" w:space="0" w:color="auto"/>
        <w:left w:val="none" w:sz="0" w:space="0" w:color="auto"/>
        <w:bottom w:val="none" w:sz="0" w:space="0" w:color="auto"/>
        <w:right w:val="none" w:sz="0" w:space="0" w:color="auto"/>
      </w:divBdr>
    </w:div>
    <w:div w:id="1370835721">
      <w:bodyDiv w:val="1"/>
      <w:marLeft w:val="0"/>
      <w:marRight w:val="0"/>
      <w:marTop w:val="0"/>
      <w:marBottom w:val="0"/>
      <w:divBdr>
        <w:top w:val="none" w:sz="0" w:space="0" w:color="auto"/>
        <w:left w:val="none" w:sz="0" w:space="0" w:color="auto"/>
        <w:bottom w:val="none" w:sz="0" w:space="0" w:color="auto"/>
        <w:right w:val="none" w:sz="0" w:space="0" w:color="auto"/>
      </w:divBdr>
    </w:div>
    <w:div w:id="1430466131">
      <w:bodyDiv w:val="1"/>
      <w:marLeft w:val="0"/>
      <w:marRight w:val="0"/>
      <w:marTop w:val="0"/>
      <w:marBottom w:val="0"/>
      <w:divBdr>
        <w:top w:val="none" w:sz="0" w:space="0" w:color="auto"/>
        <w:left w:val="none" w:sz="0" w:space="0" w:color="auto"/>
        <w:bottom w:val="none" w:sz="0" w:space="0" w:color="auto"/>
        <w:right w:val="none" w:sz="0" w:space="0" w:color="auto"/>
      </w:divBdr>
    </w:div>
    <w:div w:id="1435706169">
      <w:bodyDiv w:val="1"/>
      <w:marLeft w:val="0"/>
      <w:marRight w:val="0"/>
      <w:marTop w:val="0"/>
      <w:marBottom w:val="0"/>
      <w:divBdr>
        <w:top w:val="none" w:sz="0" w:space="0" w:color="auto"/>
        <w:left w:val="none" w:sz="0" w:space="0" w:color="auto"/>
        <w:bottom w:val="none" w:sz="0" w:space="0" w:color="auto"/>
        <w:right w:val="none" w:sz="0" w:space="0" w:color="auto"/>
      </w:divBdr>
    </w:div>
    <w:div w:id="1516531219">
      <w:bodyDiv w:val="1"/>
      <w:marLeft w:val="0"/>
      <w:marRight w:val="0"/>
      <w:marTop w:val="0"/>
      <w:marBottom w:val="0"/>
      <w:divBdr>
        <w:top w:val="none" w:sz="0" w:space="0" w:color="auto"/>
        <w:left w:val="none" w:sz="0" w:space="0" w:color="auto"/>
        <w:bottom w:val="none" w:sz="0" w:space="0" w:color="auto"/>
        <w:right w:val="none" w:sz="0" w:space="0" w:color="auto"/>
      </w:divBdr>
    </w:div>
    <w:div w:id="1582636024">
      <w:bodyDiv w:val="1"/>
      <w:marLeft w:val="0"/>
      <w:marRight w:val="0"/>
      <w:marTop w:val="0"/>
      <w:marBottom w:val="0"/>
      <w:divBdr>
        <w:top w:val="none" w:sz="0" w:space="0" w:color="auto"/>
        <w:left w:val="none" w:sz="0" w:space="0" w:color="auto"/>
        <w:bottom w:val="none" w:sz="0" w:space="0" w:color="auto"/>
        <w:right w:val="none" w:sz="0" w:space="0" w:color="auto"/>
      </w:divBdr>
      <w:divsChild>
        <w:div w:id="1956980751">
          <w:marLeft w:val="0"/>
          <w:marRight w:val="0"/>
          <w:marTop w:val="0"/>
          <w:marBottom w:val="0"/>
          <w:divBdr>
            <w:top w:val="none" w:sz="0" w:space="0" w:color="auto"/>
            <w:left w:val="none" w:sz="0" w:space="0" w:color="auto"/>
            <w:bottom w:val="none" w:sz="0" w:space="0" w:color="auto"/>
            <w:right w:val="none" w:sz="0" w:space="0" w:color="auto"/>
          </w:divBdr>
        </w:div>
      </w:divsChild>
    </w:div>
    <w:div w:id="1627203337">
      <w:bodyDiv w:val="1"/>
      <w:marLeft w:val="0"/>
      <w:marRight w:val="0"/>
      <w:marTop w:val="0"/>
      <w:marBottom w:val="0"/>
      <w:divBdr>
        <w:top w:val="none" w:sz="0" w:space="0" w:color="auto"/>
        <w:left w:val="none" w:sz="0" w:space="0" w:color="auto"/>
        <w:bottom w:val="none" w:sz="0" w:space="0" w:color="auto"/>
        <w:right w:val="none" w:sz="0" w:space="0" w:color="auto"/>
      </w:divBdr>
    </w:div>
    <w:div w:id="1643120241">
      <w:bodyDiv w:val="1"/>
      <w:marLeft w:val="0"/>
      <w:marRight w:val="0"/>
      <w:marTop w:val="0"/>
      <w:marBottom w:val="0"/>
      <w:divBdr>
        <w:top w:val="none" w:sz="0" w:space="0" w:color="auto"/>
        <w:left w:val="none" w:sz="0" w:space="0" w:color="auto"/>
        <w:bottom w:val="none" w:sz="0" w:space="0" w:color="auto"/>
        <w:right w:val="none" w:sz="0" w:space="0" w:color="auto"/>
      </w:divBdr>
    </w:div>
    <w:div w:id="204173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b.mx/shcp/prensa/el-consejo-de-estabilidad-del-sistema-financiero-actualiza-su-balance-de-riesgos-40171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CB5EC-56E8-4BCA-8787-C022460C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17</Pages>
  <Words>4759</Words>
  <Characters>26176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30874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Eve</cp:lastModifiedBy>
  <cp:revision>10</cp:revision>
  <cp:lastPrinted>2025-04-25T15:27:00Z</cp:lastPrinted>
  <dcterms:created xsi:type="dcterms:W3CDTF">2025-07-01T15:36:00Z</dcterms:created>
  <dcterms:modified xsi:type="dcterms:W3CDTF">2025-07-16T21:39:00Z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