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16EAF"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2F65D88B" w14:textId="77777777" w:rsidR="007D1E76" w:rsidRDefault="007D1E76" w:rsidP="00CB41C4">
      <w:pPr>
        <w:tabs>
          <w:tab w:val="left" w:leader="underscore" w:pos="9639"/>
        </w:tabs>
        <w:spacing w:after="0" w:line="240" w:lineRule="auto"/>
        <w:jc w:val="both"/>
        <w:rPr>
          <w:rFonts w:cs="Calibri"/>
        </w:rPr>
      </w:pPr>
    </w:p>
    <w:p w14:paraId="6EDF4356" w14:textId="77777777" w:rsidR="004C63B1" w:rsidRPr="009F6E4B" w:rsidRDefault="004C63B1" w:rsidP="00CB41C4">
      <w:pPr>
        <w:tabs>
          <w:tab w:val="left" w:leader="underscore" w:pos="9639"/>
        </w:tabs>
        <w:spacing w:after="0" w:line="240" w:lineRule="auto"/>
        <w:jc w:val="both"/>
        <w:rPr>
          <w:rFonts w:cs="Calibri"/>
          <w:sz w:val="20"/>
          <w:szCs w:val="20"/>
        </w:rPr>
      </w:pPr>
    </w:p>
    <w:p w14:paraId="713110D4"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Los Estados Financieros de los entes públicos, proveen de información financiera a los principales usuarios de la misma, al</w:t>
      </w:r>
      <w:r w:rsidR="00E00323" w:rsidRPr="009F6E4B">
        <w:rPr>
          <w:rFonts w:cs="Calibri"/>
          <w:sz w:val="20"/>
          <w:szCs w:val="20"/>
        </w:rPr>
        <w:t xml:space="preserve"> Congreso y a los ciudadanos.</w:t>
      </w:r>
    </w:p>
    <w:p w14:paraId="025F8809" w14:textId="3F5C2D46" w:rsidR="007D1E76" w:rsidRPr="009F6E4B" w:rsidRDefault="001771DF" w:rsidP="001771DF">
      <w:pPr>
        <w:tabs>
          <w:tab w:val="left" w:pos="6540"/>
        </w:tabs>
        <w:spacing w:after="0" w:line="240" w:lineRule="auto"/>
        <w:jc w:val="both"/>
        <w:rPr>
          <w:rFonts w:cs="Calibri"/>
          <w:sz w:val="20"/>
          <w:szCs w:val="20"/>
        </w:rPr>
      </w:pPr>
      <w:r w:rsidRPr="009F6E4B">
        <w:rPr>
          <w:rFonts w:cs="Calibri"/>
          <w:sz w:val="20"/>
          <w:szCs w:val="20"/>
        </w:rPr>
        <w:tab/>
      </w:r>
    </w:p>
    <w:p w14:paraId="25F26DDB" w14:textId="08E5784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El objetivo del presente documento es la revelación del contexto y de los aspectos económicos</w:t>
      </w:r>
      <w:r w:rsidR="00967DDA" w:rsidRPr="009F6E4B">
        <w:rPr>
          <w:rFonts w:cs="Calibri"/>
          <w:sz w:val="20"/>
          <w:szCs w:val="20"/>
        </w:rPr>
        <w:t>-</w:t>
      </w:r>
      <w:r w:rsidRPr="009F6E4B">
        <w:rPr>
          <w:rFonts w:cs="Calibri"/>
          <w:sz w:val="20"/>
          <w:szCs w:val="20"/>
        </w:rPr>
        <w:t>financieros más relevantes que influyeron en las decisiones del período, y que deberán ser considerados en la elaboración de los estados financieros para la mayor comprensión de los m</w:t>
      </w:r>
      <w:r w:rsidR="00E00323" w:rsidRPr="009F6E4B">
        <w:rPr>
          <w:rFonts w:cs="Calibri"/>
          <w:sz w:val="20"/>
          <w:szCs w:val="20"/>
        </w:rPr>
        <w:t>ismos y sus particularidades.</w:t>
      </w:r>
    </w:p>
    <w:p w14:paraId="606D20F5" w14:textId="77777777" w:rsidR="007D1E76" w:rsidRPr="009F6E4B" w:rsidRDefault="007D1E76" w:rsidP="00CB41C4">
      <w:pPr>
        <w:tabs>
          <w:tab w:val="left" w:leader="underscore" w:pos="9639"/>
        </w:tabs>
        <w:spacing w:after="0" w:line="240" w:lineRule="auto"/>
        <w:jc w:val="both"/>
        <w:rPr>
          <w:rFonts w:cs="Calibri"/>
          <w:sz w:val="20"/>
          <w:szCs w:val="20"/>
        </w:rPr>
      </w:pPr>
    </w:p>
    <w:p w14:paraId="559642E6" w14:textId="7AD61893"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 xml:space="preserve">De esta manera, </w:t>
      </w:r>
      <w:r w:rsidR="00295B72" w:rsidRPr="009F6E4B">
        <w:rPr>
          <w:rFonts w:cs="Calibri"/>
          <w:sz w:val="20"/>
          <w:szCs w:val="20"/>
        </w:rPr>
        <w:t>se informan y explican las condiciones relacionadas con la información financiera de cada período de gestión; además, de exponer aquellas políticas que podrían afectar la toma de decisiones en períodos posteriores.</w:t>
      </w:r>
      <w:r w:rsidR="00C93C67" w:rsidRPr="009F6E4B">
        <w:rPr>
          <w:rFonts w:cs="Calibri"/>
          <w:sz w:val="20"/>
          <w:szCs w:val="20"/>
        </w:rPr>
        <w:t xml:space="preserve"> (</w:t>
      </w:r>
      <w:r w:rsidR="00C93C67" w:rsidRPr="009F6E4B">
        <w:rPr>
          <w:rFonts w:cs="Calibri"/>
          <w:color w:val="2F5496" w:themeColor="accent5" w:themeShade="BF"/>
          <w:sz w:val="20"/>
          <w:szCs w:val="20"/>
        </w:rPr>
        <w:t>DOF 06-12-2022</w:t>
      </w:r>
      <w:r w:rsidR="00C93C67" w:rsidRPr="009F6E4B">
        <w:rPr>
          <w:rFonts w:cs="Calibri"/>
          <w:sz w:val="20"/>
          <w:szCs w:val="20"/>
        </w:rPr>
        <w:t>)</w:t>
      </w:r>
    </w:p>
    <w:p w14:paraId="009160FA" w14:textId="7F828C13" w:rsidR="007D1E76" w:rsidRPr="009F6E4B" w:rsidRDefault="007D1E76" w:rsidP="00CB41C4">
      <w:pPr>
        <w:pStyle w:val="Prrafodelista"/>
        <w:tabs>
          <w:tab w:val="left" w:leader="underscore" w:pos="9639"/>
        </w:tabs>
        <w:spacing w:after="0" w:line="240" w:lineRule="auto"/>
        <w:jc w:val="both"/>
        <w:rPr>
          <w:rFonts w:cs="Calibri"/>
          <w:sz w:val="20"/>
          <w:szCs w:val="20"/>
        </w:rPr>
      </w:pPr>
    </w:p>
    <w:p w14:paraId="64420E1E" w14:textId="4E44B4A8" w:rsidR="007D1E76" w:rsidRPr="009F6E4B" w:rsidRDefault="007D1E76" w:rsidP="00CB41C4">
      <w:pPr>
        <w:pStyle w:val="Prrafodelista"/>
        <w:numPr>
          <w:ilvl w:val="0"/>
          <w:numId w:val="1"/>
        </w:numPr>
        <w:tabs>
          <w:tab w:val="left" w:leader="underscore" w:pos="9639"/>
        </w:tabs>
        <w:spacing w:after="0" w:line="240" w:lineRule="auto"/>
        <w:jc w:val="both"/>
        <w:rPr>
          <w:rFonts w:cs="Calibri"/>
          <w:sz w:val="20"/>
          <w:szCs w:val="20"/>
        </w:rPr>
      </w:pPr>
      <w:r w:rsidRPr="009F6E4B">
        <w:rPr>
          <w:rFonts w:cs="Calibri"/>
          <w:sz w:val="20"/>
          <w:szCs w:val="20"/>
        </w:rPr>
        <w:t>Las notas de gestión administrativa deben contener los siguientes puntos:</w:t>
      </w:r>
    </w:p>
    <w:p w14:paraId="552470B0" w14:textId="6EC8F965" w:rsidR="007D1E76" w:rsidRPr="009F6E4B" w:rsidRDefault="007D1E76" w:rsidP="00CB41C4">
      <w:pPr>
        <w:tabs>
          <w:tab w:val="left" w:leader="underscore" w:pos="9639"/>
        </w:tabs>
        <w:spacing w:after="0" w:line="240" w:lineRule="auto"/>
        <w:jc w:val="both"/>
        <w:rPr>
          <w:rFonts w:cs="Calibri"/>
          <w:sz w:val="20"/>
          <w:szCs w:val="20"/>
        </w:rPr>
      </w:pPr>
    </w:p>
    <w:sdt>
      <w:sdtPr>
        <w:rPr>
          <w:rFonts w:ascii="Calibri" w:eastAsia="Calibri" w:hAnsi="Calibri" w:cs="Times New Roman"/>
          <w:color w:val="auto"/>
          <w:sz w:val="20"/>
          <w:szCs w:val="20"/>
          <w:lang w:val="es-ES" w:eastAsia="en-US"/>
        </w:rPr>
        <w:id w:val="-191922827"/>
        <w:docPartObj>
          <w:docPartGallery w:val="Table of Contents"/>
          <w:docPartUnique/>
        </w:docPartObj>
      </w:sdtPr>
      <w:sdtEndPr>
        <w:rPr>
          <w:b/>
          <w:bCs/>
        </w:rPr>
      </w:sdtEndPr>
      <w:sdtContent>
        <w:p w14:paraId="68C75D59" w14:textId="5B2ECB74" w:rsidR="00F46719" w:rsidRPr="009F6E4B" w:rsidRDefault="00F46719">
          <w:pPr>
            <w:pStyle w:val="TtulodeTDC"/>
            <w:rPr>
              <w:sz w:val="20"/>
              <w:szCs w:val="20"/>
              <w:lang w:val="es-ES"/>
            </w:rPr>
          </w:pPr>
          <w:r w:rsidRPr="009F6E4B">
            <w:rPr>
              <w:sz w:val="20"/>
              <w:szCs w:val="20"/>
              <w:lang w:val="es-ES"/>
            </w:rPr>
            <w:t>Contenido</w:t>
          </w:r>
        </w:p>
        <w:p w14:paraId="6FC310E2" w14:textId="77777777" w:rsidR="00516100" w:rsidRPr="009F6E4B" w:rsidRDefault="00516100" w:rsidP="00516100">
          <w:pPr>
            <w:rPr>
              <w:sz w:val="20"/>
              <w:szCs w:val="20"/>
              <w:lang w:val="es-ES" w:eastAsia="es-MX"/>
            </w:rPr>
          </w:pPr>
        </w:p>
        <w:p w14:paraId="3FF82584" w14:textId="77777777" w:rsidR="00910ABC" w:rsidRDefault="00F46719">
          <w:pPr>
            <w:pStyle w:val="TDC2"/>
            <w:tabs>
              <w:tab w:val="right" w:leader="dot" w:pos="9678"/>
            </w:tabs>
            <w:rPr>
              <w:rFonts w:asciiTheme="minorHAnsi" w:eastAsiaTheme="minorEastAsia" w:hAnsiTheme="minorHAnsi" w:cstheme="minorBidi"/>
              <w:noProof/>
              <w:lang w:eastAsia="es-MX"/>
            </w:rPr>
          </w:pPr>
          <w:r w:rsidRPr="009F6E4B">
            <w:rPr>
              <w:sz w:val="20"/>
              <w:szCs w:val="20"/>
            </w:rPr>
            <w:fldChar w:fldCharType="begin"/>
          </w:r>
          <w:r w:rsidRPr="009F6E4B">
            <w:rPr>
              <w:sz w:val="20"/>
              <w:szCs w:val="20"/>
            </w:rPr>
            <w:instrText xml:space="preserve"> TOC \o "1-3" \h \z \u </w:instrText>
          </w:r>
          <w:r w:rsidRPr="009F6E4B">
            <w:rPr>
              <w:sz w:val="20"/>
              <w:szCs w:val="20"/>
            </w:rPr>
            <w:fldChar w:fldCharType="separate"/>
          </w:r>
          <w:hyperlink w:anchor="_Toc227665758" w:history="1">
            <w:r w:rsidR="00910ABC" w:rsidRPr="00DF188F">
              <w:rPr>
                <w:rStyle w:val="Hipervnculo"/>
                <w:rFonts w:cstheme="minorHAnsi"/>
                <w:b/>
                <w:noProof/>
              </w:rPr>
              <w:t>1. Autorización e Historia:</w:t>
            </w:r>
            <w:r w:rsidR="00910ABC">
              <w:rPr>
                <w:noProof/>
                <w:webHidden/>
              </w:rPr>
              <w:tab/>
            </w:r>
            <w:r w:rsidR="00910ABC">
              <w:rPr>
                <w:noProof/>
                <w:webHidden/>
              </w:rPr>
              <w:fldChar w:fldCharType="begin"/>
            </w:r>
            <w:r w:rsidR="00910ABC">
              <w:rPr>
                <w:noProof/>
                <w:webHidden/>
              </w:rPr>
              <w:instrText xml:space="preserve"> PAGEREF _Toc227665758 \h </w:instrText>
            </w:r>
            <w:r w:rsidR="00910ABC">
              <w:rPr>
                <w:noProof/>
                <w:webHidden/>
              </w:rPr>
            </w:r>
            <w:r w:rsidR="00910ABC">
              <w:rPr>
                <w:noProof/>
                <w:webHidden/>
              </w:rPr>
              <w:fldChar w:fldCharType="separate"/>
            </w:r>
            <w:r w:rsidR="00A479CC">
              <w:rPr>
                <w:noProof/>
                <w:webHidden/>
              </w:rPr>
              <w:t>2</w:t>
            </w:r>
            <w:r w:rsidR="00910ABC">
              <w:rPr>
                <w:noProof/>
                <w:webHidden/>
              </w:rPr>
              <w:fldChar w:fldCharType="end"/>
            </w:r>
          </w:hyperlink>
        </w:p>
        <w:p w14:paraId="2DC41318"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59" w:history="1">
            <w:r w:rsidR="00910ABC" w:rsidRPr="00DF188F">
              <w:rPr>
                <w:rStyle w:val="Hipervnculo"/>
                <w:rFonts w:cstheme="minorHAnsi"/>
                <w:b/>
                <w:noProof/>
              </w:rPr>
              <w:t>2. Describir el panorama Económico y Financiero</w:t>
            </w:r>
            <w:r w:rsidR="00910ABC">
              <w:rPr>
                <w:noProof/>
                <w:webHidden/>
              </w:rPr>
              <w:tab/>
            </w:r>
            <w:r w:rsidR="00910ABC">
              <w:rPr>
                <w:noProof/>
                <w:webHidden/>
              </w:rPr>
              <w:fldChar w:fldCharType="begin"/>
            </w:r>
            <w:r w:rsidR="00910ABC">
              <w:rPr>
                <w:noProof/>
                <w:webHidden/>
              </w:rPr>
              <w:instrText xml:space="preserve"> PAGEREF _Toc227665759 \h </w:instrText>
            </w:r>
            <w:r w:rsidR="00910ABC">
              <w:rPr>
                <w:noProof/>
                <w:webHidden/>
              </w:rPr>
            </w:r>
            <w:r w:rsidR="00910ABC">
              <w:rPr>
                <w:noProof/>
                <w:webHidden/>
              </w:rPr>
              <w:fldChar w:fldCharType="separate"/>
            </w:r>
            <w:r w:rsidR="00A479CC">
              <w:rPr>
                <w:noProof/>
                <w:webHidden/>
              </w:rPr>
              <w:t>2</w:t>
            </w:r>
            <w:r w:rsidR="00910ABC">
              <w:rPr>
                <w:noProof/>
                <w:webHidden/>
              </w:rPr>
              <w:fldChar w:fldCharType="end"/>
            </w:r>
          </w:hyperlink>
        </w:p>
        <w:p w14:paraId="561D46E6"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0" w:history="1">
            <w:r w:rsidR="00910ABC" w:rsidRPr="00DF188F">
              <w:rPr>
                <w:rStyle w:val="Hipervnculo"/>
                <w:rFonts w:cstheme="minorHAnsi"/>
                <w:b/>
                <w:noProof/>
              </w:rPr>
              <w:t>3. Organización y Objeto Social:</w:t>
            </w:r>
            <w:r w:rsidR="00910ABC">
              <w:rPr>
                <w:noProof/>
                <w:webHidden/>
              </w:rPr>
              <w:tab/>
            </w:r>
            <w:r w:rsidR="00910ABC">
              <w:rPr>
                <w:noProof/>
                <w:webHidden/>
              </w:rPr>
              <w:fldChar w:fldCharType="begin"/>
            </w:r>
            <w:r w:rsidR="00910ABC">
              <w:rPr>
                <w:noProof/>
                <w:webHidden/>
              </w:rPr>
              <w:instrText xml:space="preserve"> PAGEREF _Toc227665760 \h </w:instrText>
            </w:r>
            <w:r w:rsidR="00910ABC">
              <w:rPr>
                <w:noProof/>
                <w:webHidden/>
              </w:rPr>
            </w:r>
            <w:r w:rsidR="00910ABC">
              <w:rPr>
                <w:noProof/>
                <w:webHidden/>
              </w:rPr>
              <w:fldChar w:fldCharType="separate"/>
            </w:r>
            <w:r w:rsidR="00A479CC">
              <w:rPr>
                <w:noProof/>
                <w:webHidden/>
              </w:rPr>
              <w:t>4</w:t>
            </w:r>
            <w:r w:rsidR="00910ABC">
              <w:rPr>
                <w:noProof/>
                <w:webHidden/>
              </w:rPr>
              <w:fldChar w:fldCharType="end"/>
            </w:r>
          </w:hyperlink>
        </w:p>
        <w:p w14:paraId="3C35D4D3"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1" w:history="1">
            <w:r w:rsidR="00910ABC" w:rsidRPr="00DF188F">
              <w:rPr>
                <w:rStyle w:val="Hipervnculo"/>
                <w:rFonts w:cstheme="minorHAnsi"/>
                <w:b/>
                <w:noProof/>
              </w:rPr>
              <w:t>4. Bases de Preparación de los Estados Financieros:</w:t>
            </w:r>
            <w:r w:rsidR="00910ABC">
              <w:rPr>
                <w:noProof/>
                <w:webHidden/>
              </w:rPr>
              <w:tab/>
            </w:r>
            <w:r w:rsidR="00910ABC">
              <w:rPr>
                <w:noProof/>
                <w:webHidden/>
              </w:rPr>
              <w:fldChar w:fldCharType="begin"/>
            </w:r>
            <w:r w:rsidR="00910ABC">
              <w:rPr>
                <w:noProof/>
                <w:webHidden/>
              </w:rPr>
              <w:instrText xml:space="preserve"> PAGEREF _Toc227665761 \h </w:instrText>
            </w:r>
            <w:r w:rsidR="00910ABC">
              <w:rPr>
                <w:noProof/>
                <w:webHidden/>
              </w:rPr>
            </w:r>
            <w:r w:rsidR="00910ABC">
              <w:rPr>
                <w:noProof/>
                <w:webHidden/>
              </w:rPr>
              <w:fldChar w:fldCharType="separate"/>
            </w:r>
            <w:r w:rsidR="00A479CC">
              <w:rPr>
                <w:noProof/>
                <w:webHidden/>
              </w:rPr>
              <w:t>7</w:t>
            </w:r>
            <w:r w:rsidR="00910ABC">
              <w:rPr>
                <w:noProof/>
                <w:webHidden/>
              </w:rPr>
              <w:fldChar w:fldCharType="end"/>
            </w:r>
          </w:hyperlink>
        </w:p>
        <w:p w14:paraId="7832725F"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2" w:history="1">
            <w:r w:rsidR="00910ABC" w:rsidRPr="00DF188F">
              <w:rPr>
                <w:rStyle w:val="Hipervnculo"/>
                <w:rFonts w:cstheme="minorHAnsi"/>
                <w:b/>
                <w:noProof/>
              </w:rPr>
              <w:t>5. Políticas de Contabilidad Significativas:</w:t>
            </w:r>
            <w:r w:rsidR="00910ABC">
              <w:rPr>
                <w:noProof/>
                <w:webHidden/>
              </w:rPr>
              <w:tab/>
            </w:r>
            <w:r w:rsidR="00910ABC">
              <w:rPr>
                <w:noProof/>
                <w:webHidden/>
              </w:rPr>
              <w:fldChar w:fldCharType="begin"/>
            </w:r>
            <w:r w:rsidR="00910ABC">
              <w:rPr>
                <w:noProof/>
                <w:webHidden/>
              </w:rPr>
              <w:instrText xml:space="preserve"> PAGEREF _Toc227665762 \h </w:instrText>
            </w:r>
            <w:r w:rsidR="00910ABC">
              <w:rPr>
                <w:noProof/>
                <w:webHidden/>
              </w:rPr>
            </w:r>
            <w:r w:rsidR="00910ABC">
              <w:rPr>
                <w:noProof/>
                <w:webHidden/>
              </w:rPr>
              <w:fldChar w:fldCharType="separate"/>
            </w:r>
            <w:r w:rsidR="00A479CC">
              <w:rPr>
                <w:noProof/>
                <w:webHidden/>
              </w:rPr>
              <w:t>9</w:t>
            </w:r>
            <w:r w:rsidR="00910ABC">
              <w:rPr>
                <w:noProof/>
                <w:webHidden/>
              </w:rPr>
              <w:fldChar w:fldCharType="end"/>
            </w:r>
          </w:hyperlink>
        </w:p>
        <w:p w14:paraId="425AB0E8"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3" w:history="1">
            <w:r w:rsidR="00910ABC" w:rsidRPr="00DF188F">
              <w:rPr>
                <w:rStyle w:val="Hipervnculo"/>
                <w:rFonts w:cstheme="minorHAnsi"/>
                <w:b/>
                <w:noProof/>
              </w:rPr>
              <w:t>6. Posición en Moneda Extranjera y Protección por Riesgo Cambiario:</w:t>
            </w:r>
            <w:r w:rsidR="00910ABC">
              <w:rPr>
                <w:noProof/>
                <w:webHidden/>
              </w:rPr>
              <w:tab/>
            </w:r>
            <w:r w:rsidR="00910ABC">
              <w:rPr>
                <w:noProof/>
                <w:webHidden/>
              </w:rPr>
              <w:fldChar w:fldCharType="begin"/>
            </w:r>
            <w:r w:rsidR="00910ABC">
              <w:rPr>
                <w:noProof/>
                <w:webHidden/>
              </w:rPr>
              <w:instrText xml:space="preserve"> PAGEREF _Toc227665763 \h </w:instrText>
            </w:r>
            <w:r w:rsidR="00910ABC">
              <w:rPr>
                <w:noProof/>
                <w:webHidden/>
              </w:rPr>
            </w:r>
            <w:r w:rsidR="00910ABC">
              <w:rPr>
                <w:noProof/>
                <w:webHidden/>
              </w:rPr>
              <w:fldChar w:fldCharType="separate"/>
            </w:r>
            <w:r w:rsidR="00A479CC">
              <w:rPr>
                <w:noProof/>
                <w:webHidden/>
              </w:rPr>
              <w:t>11</w:t>
            </w:r>
            <w:r w:rsidR="00910ABC">
              <w:rPr>
                <w:noProof/>
                <w:webHidden/>
              </w:rPr>
              <w:fldChar w:fldCharType="end"/>
            </w:r>
          </w:hyperlink>
        </w:p>
        <w:p w14:paraId="2C417AA4"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4" w:history="1">
            <w:r w:rsidR="00910ABC" w:rsidRPr="00DF188F">
              <w:rPr>
                <w:rStyle w:val="Hipervnculo"/>
                <w:rFonts w:cstheme="minorHAnsi"/>
                <w:b/>
                <w:noProof/>
              </w:rPr>
              <w:t>7. Reporte Analítico del Activo:</w:t>
            </w:r>
            <w:r w:rsidR="00910ABC">
              <w:rPr>
                <w:noProof/>
                <w:webHidden/>
              </w:rPr>
              <w:tab/>
            </w:r>
            <w:r w:rsidR="00910ABC">
              <w:rPr>
                <w:noProof/>
                <w:webHidden/>
              </w:rPr>
              <w:fldChar w:fldCharType="begin"/>
            </w:r>
            <w:r w:rsidR="00910ABC">
              <w:rPr>
                <w:noProof/>
                <w:webHidden/>
              </w:rPr>
              <w:instrText xml:space="preserve"> PAGEREF _Toc227665764 \h </w:instrText>
            </w:r>
            <w:r w:rsidR="00910ABC">
              <w:rPr>
                <w:noProof/>
                <w:webHidden/>
              </w:rPr>
            </w:r>
            <w:r w:rsidR="00910ABC">
              <w:rPr>
                <w:noProof/>
                <w:webHidden/>
              </w:rPr>
              <w:fldChar w:fldCharType="separate"/>
            </w:r>
            <w:r w:rsidR="00A479CC">
              <w:rPr>
                <w:noProof/>
                <w:webHidden/>
              </w:rPr>
              <w:t>11</w:t>
            </w:r>
            <w:r w:rsidR="00910ABC">
              <w:rPr>
                <w:noProof/>
                <w:webHidden/>
              </w:rPr>
              <w:fldChar w:fldCharType="end"/>
            </w:r>
          </w:hyperlink>
        </w:p>
        <w:p w14:paraId="670AAE8E"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5" w:history="1">
            <w:r w:rsidR="00910ABC" w:rsidRPr="00DF188F">
              <w:rPr>
                <w:rStyle w:val="Hipervnculo"/>
                <w:rFonts w:cstheme="minorHAnsi"/>
                <w:b/>
                <w:noProof/>
              </w:rPr>
              <w:t>8. Fideicomisos, Mandatos y Análogos:</w:t>
            </w:r>
            <w:r w:rsidR="00910ABC">
              <w:rPr>
                <w:noProof/>
                <w:webHidden/>
              </w:rPr>
              <w:tab/>
            </w:r>
            <w:r w:rsidR="00910ABC">
              <w:rPr>
                <w:noProof/>
                <w:webHidden/>
              </w:rPr>
              <w:fldChar w:fldCharType="begin"/>
            </w:r>
            <w:r w:rsidR="00910ABC">
              <w:rPr>
                <w:noProof/>
                <w:webHidden/>
              </w:rPr>
              <w:instrText xml:space="preserve"> PAGEREF _Toc227665765 \h </w:instrText>
            </w:r>
            <w:r w:rsidR="00910ABC">
              <w:rPr>
                <w:noProof/>
                <w:webHidden/>
              </w:rPr>
            </w:r>
            <w:r w:rsidR="00910ABC">
              <w:rPr>
                <w:noProof/>
                <w:webHidden/>
              </w:rPr>
              <w:fldChar w:fldCharType="separate"/>
            </w:r>
            <w:r w:rsidR="00A479CC">
              <w:rPr>
                <w:noProof/>
                <w:webHidden/>
              </w:rPr>
              <w:t>13</w:t>
            </w:r>
            <w:r w:rsidR="00910ABC">
              <w:rPr>
                <w:noProof/>
                <w:webHidden/>
              </w:rPr>
              <w:fldChar w:fldCharType="end"/>
            </w:r>
          </w:hyperlink>
        </w:p>
        <w:p w14:paraId="1FD77AA5"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6" w:history="1">
            <w:r w:rsidR="00910ABC" w:rsidRPr="00DF188F">
              <w:rPr>
                <w:rStyle w:val="Hipervnculo"/>
                <w:rFonts w:cstheme="minorHAnsi"/>
                <w:b/>
                <w:noProof/>
              </w:rPr>
              <w:t>9. Reporte de la Recaudación:</w:t>
            </w:r>
            <w:r w:rsidR="00910ABC">
              <w:rPr>
                <w:noProof/>
                <w:webHidden/>
              </w:rPr>
              <w:tab/>
            </w:r>
            <w:r w:rsidR="00910ABC">
              <w:rPr>
                <w:noProof/>
                <w:webHidden/>
              </w:rPr>
              <w:fldChar w:fldCharType="begin"/>
            </w:r>
            <w:r w:rsidR="00910ABC">
              <w:rPr>
                <w:noProof/>
                <w:webHidden/>
              </w:rPr>
              <w:instrText xml:space="preserve"> PAGEREF _Toc227665766 \h </w:instrText>
            </w:r>
            <w:r w:rsidR="00910ABC">
              <w:rPr>
                <w:noProof/>
                <w:webHidden/>
              </w:rPr>
            </w:r>
            <w:r w:rsidR="00910ABC">
              <w:rPr>
                <w:noProof/>
                <w:webHidden/>
              </w:rPr>
              <w:fldChar w:fldCharType="separate"/>
            </w:r>
            <w:r w:rsidR="00A479CC">
              <w:rPr>
                <w:noProof/>
                <w:webHidden/>
              </w:rPr>
              <w:t>13</w:t>
            </w:r>
            <w:r w:rsidR="00910ABC">
              <w:rPr>
                <w:noProof/>
                <w:webHidden/>
              </w:rPr>
              <w:fldChar w:fldCharType="end"/>
            </w:r>
          </w:hyperlink>
        </w:p>
        <w:p w14:paraId="2888C57D"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7" w:history="1">
            <w:r w:rsidR="00910ABC" w:rsidRPr="00DF188F">
              <w:rPr>
                <w:rStyle w:val="Hipervnculo"/>
                <w:rFonts w:cstheme="minorHAnsi"/>
                <w:b/>
                <w:noProof/>
              </w:rPr>
              <w:t>10. Información sobre la Deuda y el Reporte Analítico de la Deuda:</w:t>
            </w:r>
            <w:r w:rsidR="00910ABC">
              <w:rPr>
                <w:noProof/>
                <w:webHidden/>
              </w:rPr>
              <w:tab/>
            </w:r>
            <w:r w:rsidR="00910ABC">
              <w:rPr>
                <w:noProof/>
                <w:webHidden/>
              </w:rPr>
              <w:fldChar w:fldCharType="begin"/>
            </w:r>
            <w:r w:rsidR="00910ABC">
              <w:rPr>
                <w:noProof/>
                <w:webHidden/>
              </w:rPr>
              <w:instrText xml:space="preserve"> PAGEREF _Toc227665767 \h </w:instrText>
            </w:r>
            <w:r w:rsidR="00910ABC">
              <w:rPr>
                <w:noProof/>
                <w:webHidden/>
              </w:rPr>
            </w:r>
            <w:r w:rsidR="00910ABC">
              <w:rPr>
                <w:noProof/>
                <w:webHidden/>
              </w:rPr>
              <w:fldChar w:fldCharType="separate"/>
            </w:r>
            <w:r w:rsidR="00A479CC">
              <w:rPr>
                <w:noProof/>
                <w:webHidden/>
              </w:rPr>
              <w:t>14</w:t>
            </w:r>
            <w:r w:rsidR="00910ABC">
              <w:rPr>
                <w:noProof/>
                <w:webHidden/>
              </w:rPr>
              <w:fldChar w:fldCharType="end"/>
            </w:r>
          </w:hyperlink>
        </w:p>
        <w:p w14:paraId="220D1312"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8" w:history="1">
            <w:r w:rsidR="00910ABC" w:rsidRPr="00DF188F">
              <w:rPr>
                <w:rStyle w:val="Hipervnculo"/>
                <w:rFonts w:cstheme="minorHAnsi"/>
                <w:b/>
                <w:noProof/>
              </w:rPr>
              <w:t>11. Calificaciones otorgadas:</w:t>
            </w:r>
            <w:r w:rsidR="00910ABC">
              <w:rPr>
                <w:noProof/>
                <w:webHidden/>
              </w:rPr>
              <w:tab/>
            </w:r>
            <w:r w:rsidR="00910ABC">
              <w:rPr>
                <w:noProof/>
                <w:webHidden/>
              </w:rPr>
              <w:fldChar w:fldCharType="begin"/>
            </w:r>
            <w:r w:rsidR="00910ABC">
              <w:rPr>
                <w:noProof/>
                <w:webHidden/>
              </w:rPr>
              <w:instrText xml:space="preserve"> PAGEREF _Toc227665768 \h </w:instrText>
            </w:r>
            <w:r w:rsidR="00910ABC">
              <w:rPr>
                <w:noProof/>
                <w:webHidden/>
              </w:rPr>
            </w:r>
            <w:r w:rsidR="00910ABC">
              <w:rPr>
                <w:noProof/>
                <w:webHidden/>
              </w:rPr>
              <w:fldChar w:fldCharType="separate"/>
            </w:r>
            <w:r w:rsidR="00A479CC">
              <w:rPr>
                <w:noProof/>
                <w:webHidden/>
              </w:rPr>
              <w:t>15</w:t>
            </w:r>
            <w:r w:rsidR="00910ABC">
              <w:rPr>
                <w:noProof/>
                <w:webHidden/>
              </w:rPr>
              <w:fldChar w:fldCharType="end"/>
            </w:r>
          </w:hyperlink>
        </w:p>
        <w:p w14:paraId="6AA15807"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69" w:history="1">
            <w:r w:rsidR="00910ABC" w:rsidRPr="00DF188F">
              <w:rPr>
                <w:rStyle w:val="Hipervnculo"/>
                <w:rFonts w:cstheme="minorHAnsi"/>
                <w:b/>
                <w:noProof/>
              </w:rPr>
              <w:t>12. Proceso de Mejora:</w:t>
            </w:r>
            <w:r w:rsidR="00910ABC">
              <w:rPr>
                <w:noProof/>
                <w:webHidden/>
              </w:rPr>
              <w:tab/>
            </w:r>
            <w:r w:rsidR="00910ABC">
              <w:rPr>
                <w:noProof/>
                <w:webHidden/>
              </w:rPr>
              <w:fldChar w:fldCharType="begin"/>
            </w:r>
            <w:r w:rsidR="00910ABC">
              <w:rPr>
                <w:noProof/>
                <w:webHidden/>
              </w:rPr>
              <w:instrText xml:space="preserve"> PAGEREF _Toc227665769 \h </w:instrText>
            </w:r>
            <w:r w:rsidR="00910ABC">
              <w:rPr>
                <w:noProof/>
                <w:webHidden/>
              </w:rPr>
            </w:r>
            <w:r w:rsidR="00910ABC">
              <w:rPr>
                <w:noProof/>
                <w:webHidden/>
              </w:rPr>
              <w:fldChar w:fldCharType="separate"/>
            </w:r>
            <w:r w:rsidR="00A479CC">
              <w:rPr>
                <w:noProof/>
                <w:webHidden/>
              </w:rPr>
              <w:t>15</w:t>
            </w:r>
            <w:r w:rsidR="00910ABC">
              <w:rPr>
                <w:noProof/>
                <w:webHidden/>
              </w:rPr>
              <w:fldChar w:fldCharType="end"/>
            </w:r>
          </w:hyperlink>
        </w:p>
        <w:p w14:paraId="4ABAF11D"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70" w:history="1">
            <w:r w:rsidR="00910ABC" w:rsidRPr="00DF188F">
              <w:rPr>
                <w:rStyle w:val="Hipervnculo"/>
                <w:rFonts w:cstheme="minorHAnsi"/>
                <w:b/>
                <w:noProof/>
              </w:rPr>
              <w:t>13. Información por Segmentos:</w:t>
            </w:r>
            <w:r w:rsidR="00910ABC">
              <w:rPr>
                <w:noProof/>
                <w:webHidden/>
              </w:rPr>
              <w:tab/>
            </w:r>
            <w:r w:rsidR="00910ABC">
              <w:rPr>
                <w:noProof/>
                <w:webHidden/>
              </w:rPr>
              <w:fldChar w:fldCharType="begin"/>
            </w:r>
            <w:r w:rsidR="00910ABC">
              <w:rPr>
                <w:noProof/>
                <w:webHidden/>
              </w:rPr>
              <w:instrText xml:space="preserve"> PAGEREF _Toc227665770 \h </w:instrText>
            </w:r>
            <w:r w:rsidR="00910ABC">
              <w:rPr>
                <w:noProof/>
                <w:webHidden/>
              </w:rPr>
            </w:r>
            <w:r w:rsidR="00910ABC">
              <w:rPr>
                <w:noProof/>
                <w:webHidden/>
              </w:rPr>
              <w:fldChar w:fldCharType="separate"/>
            </w:r>
            <w:r w:rsidR="00A479CC">
              <w:rPr>
                <w:noProof/>
                <w:webHidden/>
              </w:rPr>
              <w:t>16</w:t>
            </w:r>
            <w:r w:rsidR="00910ABC">
              <w:rPr>
                <w:noProof/>
                <w:webHidden/>
              </w:rPr>
              <w:fldChar w:fldCharType="end"/>
            </w:r>
          </w:hyperlink>
        </w:p>
        <w:p w14:paraId="00C0C6F2"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71" w:history="1">
            <w:r w:rsidR="00910ABC" w:rsidRPr="00DF188F">
              <w:rPr>
                <w:rStyle w:val="Hipervnculo"/>
                <w:rFonts w:cstheme="minorHAnsi"/>
                <w:b/>
                <w:noProof/>
              </w:rPr>
              <w:t>14. Eventos Posteriores al Cierre:</w:t>
            </w:r>
            <w:r w:rsidR="00910ABC">
              <w:rPr>
                <w:noProof/>
                <w:webHidden/>
              </w:rPr>
              <w:tab/>
            </w:r>
            <w:r w:rsidR="00910ABC">
              <w:rPr>
                <w:noProof/>
                <w:webHidden/>
              </w:rPr>
              <w:fldChar w:fldCharType="begin"/>
            </w:r>
            <w:r w:rsidR="00910ABC">
              <w:rPr>
                <w:noProof/>
                <w:webHidden/>
              </w:rPr>
              <w:instrText xml:space="preserve"> PAGEREF _Toc227665771 \h </w:instrText>
            </w:r>
            <w:r w:rsidR="00910ABC">
              <w:rPr>
                <w:noProof/>
                <w:webHidden/>
              </w:rPr>
            </w:r>
            <w:r w:rsidR="00910ABC">
              <w:rPr>
                <w:noProof/>
                <w:webHidden/>
              </w:rPr>
              <w:fldChar w:fldCharType="separate"/>
            </w:r>
            <w:r w:rsidR="00A479CC">
              <w:rPr>
                <w:noProof/>
                <w:webHidden/>
              </w:rPr>
              <w:t>16</w:t>
            </w:r>
            <w:r w:rsidR="00910ABC">
              <w:rPr>
                <w:noProof/>
                <w:webHidden/>
              </w:rPr>
              <w:fldChar w:fldCharType="end"/>
            </w:r>
          </w:hyperlink>
        </w:p>
        <w:p w14:paraId="7E9CEA7B"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72" w:history="1">
            <w:r w:rsidR="00910ABC" w:rsidRPr="00DF188F">
              <w:rPr>
                <w:rStyle w:val="Hipervnculo"/>
                <w:rFonts w:cstheme="minorHAnsi"/>
                <w:b/>
                <w:noProof/>
              </w:rPr>
              <w:t>15. Partes Relacionadas:</w:t>
            </w:r>
            <w:r w:rsidR="00910ABC">
              <w:rPr>
                <w:noProof/>
                <w:webHidden/>
              </w:rPr>
              <w:tab/>
            </w:r>
            <w:r w:rsidR="00910ABC">
              <w:rPr>
                <w:noProof/>
                <w:webHidden/>
              </w:rPr>
              <w:fldChar w:fldCharType="begin"/>
            </w:r>
            <w:r w:rsidR="00910ABC">
              <w:rPr>
                <w:noProof/>
                <w:webHidden/>
              </w:rPr>
              <w:instrText xml:space="preserve"> PAGEREF _Toc227665772 \h </w:instrText>
            </w:r>
            <w:r w:rsidR="00910ABC">
              <w:rPr>
                <w:noProof/>
                <w:webHidden/>
              </w:rPr>
            </w:r>
            <w:r w:rsidR="00910ABC">
              <w:rPr>
                <w:noProof/>
                <w:webHidden/>
              </w:rPr>
              <w:fldChar w:fldCharType="separate"/>
            </w:r>
            <w:r w:rsidR="00A479CC">
              <w:rPr>
                <w:noProof/>
                <w:webHidden/>
              </w:rPr>
              <w:t>16</w:t>
            </w:r>
            <w:r w:rsidR="00910ABC">
              <w:rPr>
                <w:noProof/>
                <w:webHidden/>
              </w:rPr>
              <w:fldChar w:fldCharType="end"/>
            </w:r>
          </w:hyperlink>
        </w:p>
        <w:p w14:paraId="64DC7634" w14:textId="77777777" w:rsidR="00910ABC" w:rsidRDefault="00716EAF">
          <w:pPr>
            <w:pStyle w:val="TDC2"/>
            <w:tabs>
              <w:tab w:val="right" w:leader="dot" w:pos="9678"/>
            </w:tabs>
            <w:rPr>
              <w:rFonts w:asciiTheme="minorHAnsi" w:eastAsiaTheme="minorEastAsia" w:hAnsiTheme="minorHAnsi" w:cstheme="minorBidi"/>
              <w:noProof/>
              <w:lang w:eastAsia="es-MX"/>
            </w:rPr>
          </w:pPr>
          <w:hyperlink w:anchor="_Toc227665773" w:history="1">
            <w:r w:rsidR="00910ABC" w:rsidRPr="00DF188F">
              <w:rPr>
                <w:rStyle w:val="Hipervnculo"/>
                <w:rFonts w:cstheme="minorHAnsi"/>
                <w:b/>
                <w:noProof/>
              </w:rPr>
              <w:t>16. Responsabilidad Sobre la Presentación Razonable de la Información Contable:</w:t>
            </w:r>
            <w:r w:rsidR="00910ABC">
              <w:rPr>
                <w:noProof/>
                <w:webHidden/>
              </w:rPr>
              <w:tab/>
            </w:r>
            <w:r w:rsidR="00910ABC">
              <w:rPr>
                <w:noProof/>
                <w:webHidden/>
              </w:rPr>
              <w:fldChar w:fldCharType="begin"/>
            </w:r>
            <w:r w:rsidR="00910ABC">
              <w:rPr>
                <w:noProof/>
                <w:webHidden/>
              </w:rPr>
              <w:instrText xml:space="preserve"> PAGEREF _Toc227665773 \h </w:instrText>
            </w:r>
            <w:r w:rsidR="00910ABC">
              <w:rPr>
                <w:noProof/>
                <w:webHidden/>
              </w:rPr>
            </w:r>
            <w:r w:rsidR="00910ABC">
              <w:rPr>
                <w:noProof/>
                <w:webHidden/>
              </w:rPr>
              <w:fldChar w:fldCharType="separate"/>
            </w:r>
            <w:r w:rsidR="00A479CC">
              <w:rPr>
                <w:noProof/>
                <w:webHidden/>
              </w:rPr>
              <w:t>17</w:t>
            </w:r>
            <w:r w:rsidR="00910ABC">
              <w:rPr>
                <w:noProof/>
                <w:webHidden/>
              </w:rPr>
              <w:fldChar w:fldCharType="end"/>
            </w:r>
          </w:hyperlink>
        </w:p>
        <w:p w14:paraId="43551857" w14:textId="5DD7408C" w:rsidR="00F46719" w:rsidRPr="009F6E4B" w:rsidRDefault="00F46719">
          <w:pPr>
            <w:rPr>
              <w:sz w:val="20"/>
              <w:szCs w:val="20"/>
            </w:rPr>
          </w:pPr>
          <w:r w:rsidRPr="009F6E4B">
            <w:rPr>
              <w:b/>
              <w:bCs/>
              <w:sz w:val="20"/>
              <w:szCs w:val="20"/>
              <w:lang w:val="es-ES"/>
            </w:rPr>
            <w:fldChar w:fldCharType="end"/>
          </w:r>
        </w:p>
      </w:sdtContent>
    </w:sdt>
    <w:p w14:paraId="54575967" w14:textId="09BF8276" w:rsidR="007D1E76" w:rsidRPr="009F6E4B" w:rsidRDefault="007E38A2" w:rsidP="000C3365">
      <w:pPr>
        <w:pStyle w:val="Ttulo2"/>
        <w:rPr>
          <w:rFonts w:asciiTheme="minorHAnsi" w:hAnsiTheme="minorHAnsi" w:cstheme="minorHAnsi"/>
          <w:b/>
          <w:color w:val="auto"/>
          <w:sz w:val="20"/>
          <w:szCs w:val="20"/>
        </w:rPr>
      </w:pPr>
      <w:bookmarkStart w:id="0" w:name="_Toc227665758"/>
      <w:r w:rsidRPr="009F6E4B">
        <w:rPr>
          <w:rFonts w:asciiTheme="minorHAnsi" w:hAnsiTheme="minorHAnsi" w:cstheme="minorHAnsi"/>
          <w:b/>
          <w:color w:val="auto"/>
          <w:sz w:val="20"/>
          <w:szCs w:val="20"/>
        </w:rPr>
        <w:t>1</w:t>
      </w:r>
      <w:r w:rsidR="007D1E76" w:rsidRPr="009F6E4B">
        <w:rPr>
          <w:rFonts w:asciiTheme="minorHAnsi" w:hAnsiTheme="minorHAnsi" w:cstheme="minorHAnsi"/>
          <w:b/>
          <w:color w:val="auto"/>
          <w:sz w:val="20"/>
          <w:szCs w:val="20"/>
        </w:rPr>
        <w:t>. Autoriza</w:t>
      </w:r>
      <w:r w:rsidR="00E00323" w:rsidRPr="009F6E4B">
        <w:rPr>
          <w:rFonts w:asciiTheme="minorHAnsi" w:hAnsiTheme="minorHAnsi" w:cstheme="minorHAnsi"/>
          <w:b/>
          <w:color w:val="auto"/>
          <w:sz w:val="20"/>
          <w:szCs w:val="20"/>
        </w:rPr>
        <w:t>ción e Historia:</w:t>
      </w:r>
      <w:bookmarkEnd w:id="0"/>
    </w:p>
    <w:p w14:paraId="360DA23B" w14:textId="77777777" w:rsidR="007D1E76" w:rsidRPr="009F6E4B" w:rsidRDefault="007D1E76" w:rsidP="00CB41C4">
      <w:pPr>
        <w:tabs>
          <w:tab w:val="left" w:leader="underscore" w:pos="9639"/>
        </w:tabs>
        <w:spacing w:after="0" w:line="240" w:lineRule="auto"/>
        <w:jc w:val="both"/>
        <w:rPr>
          <w:rFonts w:cs="Calibri"/>
          <w:sz w:val="20"/>
          <w:szCs w:val="20"/>
        </w:rPr>
      </w:pPr>
    </w:p>
    <w:p w14:paraId="441574CB"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062E74E7" w14:textId="77777777" w:rsidR="007D1E76" w:rsidRPr="009F6E4B" w:rsidRDefault="007D1E76" w:rsidP="00CB41C4">
      <w:pPr>
        <w:tabs>
          <w:tab w:val="left" w:leader="underscore" w:pos="9639"/>
        </w:tabs>
        <w:spacing w:after="0" w:line="240" w:lineRule="auto"/>
        <w:jc w:val="both"/>
        <w:rPr>
          <w:rFonts w:cs="Calibri"/>
          <w:sz w:val="20"/>
          <w:szCs w:val="20"/>
        </w:rPr>
      </w:pPr>
    </w:p>
    <w:p w14:paraId="3F477DA3" w14:textId="72F8AFA1"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Fecha de creación del ente</w:t>
      </w:r>
      <w:r w:rsidR="00F43AC5" w:rsidRPr="009F6E4B">
        <w:rPr>
          <w:rFonts w:cs="Calibri"/>
          <w:b/>
          <w:sz w:val="20"/>
          <w:szCs w:val="20"/>
        </w:rPr>
        <w:t xml:space="preserve"> público.</w:t>
      </w:r>
    </w:p>
    <w:p w14:paraId="6A6F7E69" w14:textId="77777777" w:rsidR="001771DF" w:rsidRPr="009F6E4B" w:rsidRDefault="001771DF" w:rsidP="001771DF">
      <w:pPr>
        <w:spacing w:after="0"/>
        <w:jc w:val="both"/>
        <w:rPr>
          <w:rFonts w:cs="Calibri"/>
          <w:sz w:val="20"/>
          <w:szCs w:val="20"/>
        </w:rPr>
      </w:pPr>
    </w:p>
    <w:p w14:paraId="46C6D340" w14:textId="77777777" w:rsidR="001771DF" w:rsidRPr="009F6E4B" w:rsidRDefault="001771DF" w:rsidP="001771DF">
      <w:pPr>
        <w:spacing w:after="0"/>
        <w:jc w:val="both"/>
        <w:rPr>
          <w:rFonts w:cs="Calibri"/>
          <w:sz w:val="20"/>
          <w:szCs w:val="20"/>
        </w:rPr>
      </w:pPr>
      <w:r w:rsidRPr="009F6E4B">
        <w:rPr>
          <w:rFonts w:cs="Calibri"/>
          <w:sz w:val="20"/>
          <w:szCs w:val="20"/>
        </w:rPr>
        <w:t>El artículo 33 de la Constitución Política para el Estado de Guanajuato reconoce la existencia del Municipio de Guanajuato, el cual fue creado el 1° de enero de 1985 con RFC MGU850101JD5.</w:t>
      </w:r>
    </w:p>
    <w:p w14:paraId="4F52E4E0" w14:textId="77777777" w:rsidR="007D1E76" w:rsidRPr="009F6E4B" w:rsidRDefault="007D1E76" w:rsidP="00CB41C4">
      <w:pPr>
        <w:tabs>
          <w:tab w:val="left" w:leader="underscore" w:pos="9639"/>
        </w:tabs>
        <w:spacing w:after="0" w:line="240" w:lineRule="auto"/>
        <w:jc w:val="both"/>
        <w:rPr>
          <w:rFonts w:cs="Calibri"/>
          <w:sz w:val="20"/>
          <w:szCs w:val="20"/>
        </w:rPr>
      </w:pPr>
    </w:p>
    <w:p w14:paraId="3A2353B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Principales cambios en su estructura (interna históricamente).</w:t>
      </w:r>
    </w:p>
    <w:p w14:paraId="57135085" w14:textId="77777777" w:rsidR="001771DF" w:rsidRPr="009F6E4B" w:rsidRDefault="001771DF" w:rsidP="00CB41C4">
      <w:pPr>
        <w:tabs>
          <w:tab w:val="left" w:leader="underscore" w:pos="9639"/>
        </w:tabs>
        <w:spacing w:after="0" w:line="240" w:lineRule="auto"/>
        <w:jc w:val="both"/>
        <w:rPr>
          <w:rFonts w:cs="Calibri"/>
          <w:sz w:val="20"/>
          <w:szCs w:val="20"/>
        </w:rPr>
      </w:pPr>
    </w:p>
    <w:p w14:paraId="1B04E0C6" w14:textId="77777777" w:rsidR="001771DF" w:rsidRPr="009F6E4B" w:rsidRDefault="001771DF" w:rsidP="001771DF">
      <w:pPr>
        <w:jc w:val="both"/>
        <w:rPr>
          <w:rFonts w:eastAsia="Times New Roman" w:cs="Arial"/>
          <w:sz w:val="20"/>
          <w:szCs w:val="20"/>
        </w:rPr>
      </w:pPr>
      <w:r w:rsidRPr="009F6E4B">
        <w:rPr>
          <w:rFonts w:eastAsia="Times New Roman" w:cs="Arial"/>
          <w:sz w:val="20"/>
          <w:szCs w:val="20"/>
        </w:rPr>
        <w:t>Presidentes Municipales de los últimos tres periodos:</w:t>
      </w:r>
    </w:p>
    <w:p w14:paraId="73E75B7C" w14:textId="42E2B9D7" w:rsidR="004C63B1" w:rsidRPr="009F6E4B" w:rsidRDefault="004C63B1" w:rsidP="001771DF">
      <w:pPr>
        <w:pStyle w:val="Sinespaciado"/>
        <w:rPr>
          <w:sz w:val="20"/>
          <w:szCs w:val="20"/>
        </w:rPr>
      </w:pPr>
      <w:r w:rsidRPr="009F6E4B">
        <w:rPr>
          <w:sz w:val="20"/>
          <w:szCs w:val="20"/>
        </w:rPr>
        <w:t>Arq. Samantha Smith Gutiérrez (2024-2027)</w:t>
      </w:r>
    </w:p>
    <w:p w14:paraId="252FD955" w14:textId="3A83F8AA" w:rsidR="001771DF" w:rsidRPr="009F6E4B" w:rsidRDefault="001771DF" w:rsidP="001771DF">
      <w:pPr>
        <w:pStyle w:val="Sinespaciado"/>
        <w:rPr>
          <w:sz w:val="20"/>
          <w:szCs w:val="20"/>
        </w:rPr>
      </w:pPr>
      <w:r w:rsidRPr="009F6E4B">
        <w:rPr>
          <w:sz w:val="20"/>
          <w:szCs w:val="20"/>
        </w:rPr>
        <w:t>Lic. Mario Alejandro Navarro Saldaña (2021-2024)</w:t>
      </w:r>
    </w:p>
    <w:p w14:paraId="37B15DB5" w14:textId="77777777" w:rsidR="001771DF" w:rsidRPr="009F6E4B" w:rsidRDefault="001771DF" w:rsidP="001771DF">
      <w:pPr>
        <w:pStyle w:val="Sinespaciado"/>
        <w:rPr>
          <w:sz w:val="20"/>
          <w:szCs w:val="20"/>
        </w:rPr>
      </w:pPr>
      <w:r w:rsidRPr="009F6E4B">
        <w:rPr>
          <w:sz w:val="20"/>
          <w:szCs w:val="20"/>
        </w:rPr>
        <w:t>C. Armando López Ramírez (Presidente Interino 2021)</w:t>
      </w:r>
    </w:p>
    <w:p w14:paraId="2A64BBB3" w14:textId="77777777" w:rsidR="001771DF" w:rsidRPr="009F6E4B" w:rsidRDefault="001771DF" w:rsidP="001771DF">
      <w:pPr>
        <w:pStyle w:val="Sinespaciado"/>
        <w:rPr>
          <w:sz w:val="20"/>
          <w:szCs w:val="20"/>
        </w:rPr>
      </w:pPr>
      <w:r w:rsidRPr="009F6E4B">
        <w:rPr>
          <w:sz w:val="20"/>
          <w:szCs w:val="20"/>
        </w:rPr>
        <w:t>Lic. Mario Alejandro Navarro Saldaña (2018-2021)</w:t>
      </w:r>
    </w:p>
    <w:p w14:paraId="75819EC9" w14:textId="77777777" w:rsidR="001771DF" w:rsidRPr="009F6E4B" w:rsidRDefault="001771DF" w:rsidP="001771DF">
      <w:pPr>
        <w:pStyle w:val="Sinespaciado"/>
        <w:rPr>
          <w:sz w:val="20"/>
          <w:szCs w:val="20"/>
        </w:rPr>
      </w:pPr>
      <w:r w:rsidRPr="009F6E4B">
        <w:rPr>
          <w:sz w:val="20"/>
          <w:szCs w:val="20"/>
        </w:rPr>
        <w:t>Lic. Edgar Castro Cerrillo (2015-2018)</w:t>
      </w:r>
    </w:p>
    <w:p w14:paraId="08B58048" w14:textId="77777777" w:rsidR="001771DF" w:rsidRPr="009F6E4B" w:rsidRDefault="001771DF" w:rsidP="001771DF">
      <w:pPr>
        <w:pStyle w:val="Sinespaciado"/>
        <w:rPr>
          <w:sz w:val="20"/>
          <w:szCs w:val="20"/>
        </w:rPr>
      </w:pPr>
      <w:r w:rsidRPr="009F6E4B">
        <w:rPr>
          <w:sz w:val="20"/>
          <w:szCs w:val="20"/>
        </w:rPr>
        <w:t>Ing. Luis Fernando Gutiérrez Márquez (2012-2015)</w:t>
      </w:r>
    </w:p>
    <w:p w14:paraId="14694007" w14:textId="77777777" w:rsidR="00BA34B4" w:rsidRPr="009F6E4B" w:rsidRDefault="00BA34B4" w:rsidP="00516A8F">
      <w:pPr>
        <w:tabs>
          <w:tab w:val="left" w:leader="underscore" w:pos="9639"/>
        </w:tabs>
        <w:spacing w:after="0" w:line="240" w:lineRule="auto"/>
        <w:jc w:val="both"/>
        <w:rPr>
          <w:rFonts w:cs="Calibri"/>
          <w:sz w:val="20"/>
          <w:szCs w:val="20"/>
        </w:rPr>
      </w:pPr>
    </w:p>
    <w:p w14:paraId="5A494C73" w14:textId="0B5C4CA9" w:rsidR="00BE02EB" w:rsidRDefault="00BE02EB" w:rsidP="000C3365">
      <w:pPr>
        <w:pStyle w:val="Ttulo2"/>
        <w:rPr>
          <w:rFonts w:asciiTheme="minorHAnsi" w:hAnsiTheme="minorHAnsi" w:cstheme="minorHAnsi"/>
          <w:b/>
          <w:color w:val="auto"/>
          <w:sz w:val="20"/>
          <w:szCs w:val="20"/>
        </w:rPr>
      </w:pPr>
      <w:bookmarkStart w:id="1" w:name="_Toc227665759"/>
      <w:bookmarkStart w:id="2" w:name="_Hlk180413377"/>
      <w:r w:rsidRPr="009F6E4B">
        <w:rPr>
          <w:rFonts w:asciiTheme="minorHAnsi" w:hAnsiTheme="minorHAnsi" w:cstheme="minorHAnsi"/>
          <w:b/>
          <w:color w:val="auto"/>
          <w:sz w:val="20"/>
          <w:szCs w:val="20"/>
        </w:rPr>
        <w:t xml:space="preserve">2. </w:t>
      </w:r>
      <w:r w:rsidR="00A1081E" w:rsidRPr="009F6E4B">
        <w:rPr>
          <w:rFonts w:asciiTheme="minorHAnsi" w:hAnsiTheme="minorHAnsi" w:cstheme="minorHAnsi"/>
          <w:b/>
          <w:color w:val="auto"/>
          <w:sz w:val="20"/>
          <w:szCs w:val="20"/>
        </w:rPr>
        <w:t>Describir el p</w:t>
      </w:r>
      <w:r w:rsidR="00B6368B" w:rsidRPr="009F6E4B">
        <w:rPr>
          <w:rFonts w:asciiTheme="minorHAnsi" w:hAnsiTheme="minorHAnsi" w:cstheme="minorHAnsi"/>
          <w:b/>
          <w:color w:val="auto"/>
          <w:sz w:val="20"/>
          <w:szCs w:val="20"/>
        </w:rPr>
        <w:t>anorama Económico y Financiero</w:t>
      </w:r>
      <w:bookmarkEnd w:id="1"/>
    </w:p>
    <w:p w14:paraId="23F82075" w14:textId="77777777" w:rsidR="00471EE2" w:rsidRDefault="00471EE2" w:rsidP="00471EE2">
      <w:pPr>
        <w:spacing w:after="0"/>
        <w:jc w:val="both"/>
        <w:rPr>
          <w:rFonts w:cs="Arial"/>
          <w:sz w:val="20"/>
          <w:szCs w:val="20"/>
        </w:rPr>
      </w:pPr>
    </w:p>
    <w:p w14:paraId="1D0449EE" w14:textId="77777777" w:rsidR="00A84470" w:rsidRPr="00A84470" w:rsidRDefault="00A84470" w:rsidP="00471EE2">
      <w:pPr>
        <w:spacing w:after="0"/>
        <w:jc w:val="both"/>
        <w:rPr>
          <w:rFonts w:cs="Arial"/>
          <w:sz w:val="20"/>
          <w:szCs w:val="20"/>
        </w:rPr>
      </w:pPr>
      <w:r w:rsidRPr="00A84470">
        <w:rPr>
          <w:rFonts w:cs="Arial"/>
          <w:sz w:val="20"/>
          <w:szCs w:val="20"/>
        </w:rPr>
        <w:t>Se prevé que la actividad económica mundial se haya expandido a un ritmo mayor durante el primer trimestre de 2026 con respecto al trimestre previo, principalmente como resultado de un mayor crecimiento en las economías avanzadas. Hacia delante, el panorama para la economía global se podría encontrar sujeto a un alto grado de incertidumbre, particularmente en torno a los posibles efectos del conflicto en Oriente Medio.</w:t>
      </w:r>
    </w:p>
    <w:p w14:paraId="0101E31A" w14:textId="77777777" w:rsidR="00471EE2" w:rsidRDefault="00471EE2" w:rsidP="00471EE2">
      <w:pPr>
        <w:spacing w:after="0"/>
        <w:jc w:val="both"/>
        <w:rPr>
          <w:rFonts w:cs="Arial"/>
          <w:sz w:val="20"/>
          <w:szCs w:val="20"/>
        </w:rPr>
      </w:pPr>
    </w:p>
    <w:p w14:paraId="547E15F7" w14:textId="77777777" w:rsidR="00531FE8" w:rsidRDefault="00531FE8" w:rsidP="00471EE2">
      <w:pPr>
        <w:spacing w:after="0"/>
        <w:jc w:val="both"/>
        <w:rPr>
          <w:rFonts w:cs="Arial"/>
          <w:sz w:val="20"/>
          <w:szCs w:val="20"/>
        </w:rPr>
      </w:pPr>
    </w:p>
    <w:p w14:paraId="041D95A7" w14:textId="77777777" w:rsidR="00531FE8" w:rsidRDefault="00531FE8" w:rsidP="00471EE2">
      <w:pPr>
        <w:spacing w:after="0"/>
        <w:jc w:val="both"/>
        <w:rPr>
          <w:rFonts w:cs="Arial"/>
          <w:sz w:val="20"/>
          <w:szCs w:val="20"/>
        </w:rPr>
      </w:pPr>
    </w:p>
    <w:p w14:paraId="4894F837" w14:textId="32013641" w:rsidR="00A84470" w:rsidRPr="00A84470" w:rsidRDefault="00A84470" w:rsidP="00471EE2">
      <w:pPr>
        <w:spacing w:after="0"/>
        <w:jc w:val="both"/>
        <w:rPr>
          <w:rFonts w:cs="Arial"/>
          <w:sz w:val="20"/>
          <w:szCs w:val="20"/>
        </w:rPr>
      </w:pPr>
      <w:r w:rsidRPr="00A84470">
        <w:rPr>
          <w:rFonts w:cs="Arial"/>
          <w:sz w:val="20"/>
          <w:szCs w:val="20"/>
        </w:rPr>
        <w:t xml:space="preserve">En las principales economías avanzadas, la inflación ha disminuido desde los niveles observados a finales de 2025, aunque todavía se ubica por encima del objetivo en algunos casos. Asimismo, esta variable ha mantenido un avance gradual hacia los objetivos en varias economías emergentes, aunque de manera diferenciada entre regiones. No obstante, ante el complejo e incierto entorno global, la mayoría de los principales bancos centrales ha adoptado posturas de política monetaria cautelosas. </w:t>
      </w:r>
    </w:p>
    <w:p w14:paraId="7318DF8F" w14:textId="77777777" w:rsidR="00471EE2" w:rsidRDefault="00471EE2" w:rsidP="00471EE2">
      <w:pPr>
        <w:spacing w:after="0"/>
        <w:jc w:val="both"/>
        <w:rPr>
          <w:rFonts w:cs="Arial"/>
          <w:sz w:val="20"/>
          <w:szCs w:val="20"/>
        </w:rPr>
      </w:pPr>
    </w:p>
    <w:p w14:paraId="16033E22" w14:textId="77777777" w:rsidR="00A84470" w:rsidRPr="00A84470" w:rsidRDefault="00A84470" w:rsidP="00471EE2">
      <w:pPr>
        <w:spacing w:after="0"/>
        <w:jc w:val="both"/>
        <w:rPr>
          <w:rFonts w:cs="Arial"/>
          <w:sz w:val="20"/>
          <w:szCs w:val="20"/>
        </w:rPr>
      </w:pPr>
      <w:r w:rsidRPr="00A84470">
        <w:rPr>
          <w:rFonts w:cs="Arial"/>
          <w:sz w:val="20"/>
          <w:szCs w:val="20"/>
        </w:rPr>
        <w:t>Si bien a inicios de año los mercados financieros a nivel global habían registrado un comportamiento relativamente estable y con sesgo, incluso, positivo, la volatilidad repuntó de manera importante a finales de febrero como consecuencia del conflicto en Oriente Medio. Aun cuando la intensidad de las tensiones parece haber variado en fechas recientes, prevalece un entorno de incertidumbre significativa tanto sobre la duración, magnitud y alcance del conflicto, como de sus efectos sobre el precio de los energéticos y las cadenas de suministros, así como del impacto que esto podría tener tanto en la inflación como en la actividad económica a nivel global. Lo anterior se ha reflejado en un menor apetito por activos de mayor riesgo, al tiempo que las implicaciones para el sector energético introducen un nuevo elemento de complejidad en el panorama macroeconómico. Como resultado, las condiciones financieras a nivel global acumularon un apretamiento significativo durante el primer trimestre del año.</w:t>
      </w:r>
    </w:p>
    <w:p w14:paraId="1C456E3B" w14:textId="77777777" w:rsidR="00471EE2" w:rsidRDefault="00471EE2" w:rsidP="00471EE2">
      <w:pPr>
        <w:spacing w:after="0"/>
        <w:jc w:val="both"/>
        <w:rPr>
          <w:rFonts w:cs="Arial"/>
          <w:sz w:val="20"/>
          <w:szCs w:val="20"/>
        </w:rPr>
      </w:pPr>
    </w:p>
    <w:p w14:paraId="15736443" w14:textId="77777777" w:rsidR="00A84470" w:rsidRPr="00A84470" w:rsidRDefault="00A84470" w:rsidP="00471EE2">
      <w:pPr>
        <w:spacing w:after="0"/>
        <w:jc w:val="both"/>
        <w:rPr>
          <w:rFonts w:cs="Arial"/>
          <w:sz w:val="20"/>
          <w:szCs w:val="20"/>
        </w:rPr>
      </w:pPr>
      <w:r w:rsidRPr="00A84470">
        <w:rPr>
          <w:rFonts w:cs="Arial"/>
          <w:sz w:val="20"/>
          <w:szCs w:val="20"/>
        </w:rPr>
        <w:t>Aún persisten algunos riesgos globales cuya materialización podría incidir sobre la estabilidad financiera. Entre estos, destaca la posibilidad de un agudizamiento o prolongación de los conflictos y las tensiones geopolíticas. Asimismo, es posible que se presente un apretamiento adicional en la trayectoria de las condiciones financieras globales y locales, en buena medida como consecuencia de ajustes en las posturas y perspectivas para la política monetaria a nivel internacional ante posibles presiones inflacionarias provenientes de disrupciones en los mercados de energía y las cadenas de suministro globales. Lo anterior podría incidir negativamente en las perspectivas de la actividad económica a nivel mundial. Simultáneamente, permanece latente la ocurrencia de correcciones en las valuaciones de algunos activos financieros.</w:t>
      </w:r>
    </w:p>
    <w:p w14:paraId="2EA29BE3" w14:textId="77777777" w:rsidR="00471EE2" w:rsidRDefault="00471EE2" w:rsidP="00471EE2">
      <w:pPr>
        <w:spacing w:after="0"/>
        <w:jc w:val="both"/>
        <w:rPr>
          <w:rFonts w:cs="Arial"/>
          <w:sz w:val="20"/>
          <w:szCs w:val="20"/>
        </w:rPr>
      </w:pPr>
    </w:p>
    <w:p w14:paraId="06DA23E1" w14:textId="77777777" w:rsidR="00A84470" w:rsidRPr="00A84470" w:rsidRDefault="00A84470" w:rsidP="00471EE2">
      <w:pPr>
        <w:spacing w:after="0"/>
        <w:jc w:val="both"/>
        <w:rPr>
          <w:rFonts w:cs="Arial"/>
          <w:sz w:val="20"/>
          <w:szCs w:val="20"/>
        </w:rPr>
      </w:pPr>
      <w:r w:rsidRPr="00A84470">
        <w:rPr>
          <w:rFonts w:cs="Arial"/>
          <w:sz w:val="20"/>
          <w:szCs w:val="20"/>
        </w:rPr>
        <w:t>En México, el comportamiento de los mercados financieros locales ha estado, en general, en línea con lo observado a escala mundial. En particular, destaca que la depreciación del tipo de cambio del peso mexicano con respecto al dólar estadounidense durante el último mes prácticamente revirtió el fortalecimiento de la moneda nacional registrado entre mediados de diciembre pasado y finales de febrero, con lo que la moneda nacional acumuló una apreciación cercana a 1 por ciento desde la última sesión del Consejo. Por su parte, las tasas de interés de los valores gubernamentales registraron descensos en el segmento de corto plazo de la curva, e incrementos en la parte media y larga, mientras que los principales índices bursátiles acumularon ganancias de alrededor de 6 por ciento en el mismo periodo.</w:t>
      </w:r>
    </w:p>
    <w:p w14:paraId="2F430DC3" w14:textId="77777777" w:rsidR="00471EE2" w:rsidRDefault="00471EE2" w:rsidP="00471EE2">
      <w:pPr>
        <w:spacing w:after="0"/>
        <w:jc w:val="both"/>
        <w:rPr>
          <w:rFonts w:cs="Arial"/>
          <w:sz w:val="20"/>
          <w:szCs w:val="20"/>
        </w:rPr>
      </w:pPr>
    </w:p>
    <w:p w14:paraId="7E02D0E0" w14:textId="77777777" w:rsidR="00531FE8" w:rsidRDefault="00531FE8" w:rsidP="00471EE2">
      <w:pPr>
        <w:spacing w:after="0"/>
        <w:jc w:val="both"/>
        <w:rPr>
          <w:rFonts w:cs="Arial"/>
          <w:sz w:val="20"/>
          <w:szCs w:val="20"/>
        </w:rPr>
      </w:pPr>
    </w:p>
    <w:p w14:paraId="4D141DD5" w14:textId="77777777" w:rsidR="00531FE8" w:rsidRDefault="00531FE8" w:rsidP="00471EE2">
      <w:pPr>
        <w:spacing w:after="0"/>
        <w:jc w:val="both"/>
        <w:rPr>
          <w:rFonts w:cs="Arial"/>
          <w:sz w:val="20"/>
          <w:szCs w:val="20"/>
        </w:rPr>
      </w:pPr>
    </w:p>
    <w:p w14:paraId="3A73B174" w14:textId="17C942FB" w:rsidR="00471EE2" w:rsidRPr="00531FE8" w:rsidRDefault="00A84470" w:rsidP="00531FE8">
      <w:pPr>
        <w:spacing w:after="0"/>
        <w:jc w:val="both"/>
        <w:rPr>
          <w:rFonts w:cs="Arial"/>
          <w:sz w:val="20"/>
          <w:szCs w:val="20"/>
        </w:rPr>
      </w:pPr>
      <w:r w:rsidRPr="00A84470">
        <w:rPr>
          <w:rFonts w:cs="Arial"/>
          <w:sz w:val="20"/>
          <w:szCs w:val="20"/>
        </w:rPr>
        <w:t>La información disponible, si bien limitada, sugiere que la actividad económica nacional mostró un menor dinamismo durante el primer trimestre del año. Hacia delante, se prevé una mejora gradual en la trayectoria de la economía respecto al año pasado; no obstante, estas perspectivas permanecen sujetas a un grado importante de incertidumbre, con riesgos a la baja derivados del complejo entorno global al que se enfrenta. A pesar de ello, la calificación crediticia soberana se mantiene en grado de inversión por parte de todas las agencias que la evalúan.</w:t>
      </w:r>
    </w:p>
    <w:p w14:paraId="6525735A" w14:textId="1F1B5F6B" w:rsidR="00471EE2" w:rsidRPr="00531FE8" w:rsidRDefault="00716EAF" w:rsidP="00531FE8">
      <w:hyperlink r:id="rId12" w:history="1">
        <w:r w:rsidR="00A84470" w:rsidRPr="00530062">
          <w:rPr>
            <w:rStyle w:val="Hipervnculo"/>
          </w:rPr>
          <w:t>https://www.gob.mx/shcp/prensa/el-consejo-de-estabilidad-del-sistema-financiero-actualiza-su-balance-de-riesgos-422483?idiom=es-MX</w:t>
        </w:r>
      </w:hyperlink>
    </w:p>
    <w:p w14:paraId="21936177" w14:textId="463FC88A" w:rsidR="0019575F" w:rsidRPr="0019575F" w:rsidRDefault="0019575F" w:rsidP="00471EE2">
      <w:pPr>
        <w:shd w:val="clear" w:color="auto" w:fill="FFFFFF"/>
        <w:spacing w:before="180" w:after="180" w:line="240" w:lineRule="auto"/>
        <w:jc w:val="both"/>
        <w:rPr>
          <w:rFonts w:cs="Arial"/>
          <w:sz w:val="20"/>
          <w:szCs w:val="20"/>
        </w:rPr>
      </w:pPr>
      <w:r w:rsidRPr="0019575F">
        <w:rPr>
          <w:rFonts w:cs="Arial"/>
          <w:sz w:val="20"/>
          <w:szCs w:val="20"/>
        </w:rPr>
        <w:t>Guanajuato avanza con una visión clara de desarrollo que impulsa el crecimiento económico generando oportunidades, fortaleciendo el talento local y promoviendo una prosperidad que se refleja en la vida de las familias guanajuatenses.</w:t>
      </w:r>
    </w:p>
    <w:p w14:paraId="2E0ED7B1" w14:textId="17FD24E3" w:rsidR="0019575F" w:rsidRPr="0019575F" w:rsidRDefault="0019575F" w:rsidP="00471EE2">
      <w:pPr>
        <w:shd w:val="clear" w:color="auto" w:fill="FFFFFF"/>
        <w:spacing w:before="180" w:after="180" w:line="240" w:lineRule="auto"/>
        <w:jc w:val="both"/>
        <w:rPr>
          <w:rFonts w:cs="Arial"/>
          <w:sz w:val="20"/>
          <w:szCs w:val="20"/>
        </w:rPr>
      </w:pPr>
      <w:r w:rsidRPr="0019575F">
        <w:rPr>
          <w:rFonts w:cs="Arial"/>
          <w:sz w:val="20"/>
          <w:szCs w:val="20"/>
        </w:rPr>
        <w:t>Guanajuato se consolida como la 5ta. economía más grande de México, resultado del trabajo conjunto entre sociedad, empresas y gobierno, así como de una estrategia enfocada en la atracción de inversiones, la generación de empleo y el fortalecimiento de los sectores productivos.</w:t>
      </w:r>
    </w:p>
    <w:p w14:paraId="0AB9191B" w14:textId="68C739B5" w:rsidR="0029578B" w:rsidRPr="00471EE2" w:rsidRDefault="0019575F" w:rsidP="00471EE2">
      <w:pPr>
        <w:shd w:val="clear" w:color="auto" w:fill="FFFFFF"/>
        <w:spacing w:before="180" w:after="180" w:line="240" w:lineRule="auto"/>
        <w:jc w:val="both"/>
        <w:rPr>
          <w:rFonts w:cs="Arial"/>
          <w:sz w:val="20"/>
          <w:szCs w:val="20"/>
        </w:rPr>
      </w:pPr>
      <w:r w:rsidRPr="0019575F">
        <w:rPr>
          <w:rFonts w:cs="Arial"/>
          <w:sz w:val="20"/>
          <w:szCs w:val="20"/>
        </w:rPr>
        <w:t>En el sector turístico, Guanajuato registró cifras históricas con la llegada de más de 23 millones de visitantes y una derrama económica cercana a los 57 mil millones de pesos. Además, se contabilizaron 3.3 millones de pasajeros aéreos y más de 3 mil 400 prestadores de servicios turísticos, consolidando a este sector como generador de empleo y desarrollo regional.</w:t>
      </w:r>
      <w:bookmarkEnd w:id="2"/>
    </w:p>
    <w:p w14:paraId="53C74236" w14:textId="1D30C18A" w:rsidR="006B5053" w:rsidRDefault="00716EAF" w:rsidP="00516A8F">
      <w:pPr>
        <w:tabs>
          <w:tab w:val="left" w:leader="underscore" w:pos="9639"/>
        </w:tabs>
        <w:spacing w:after="0" w:line="240" w:lineRule="auto"/>
        <w:jc w:val="both"/>
        <w:rPr>
          <w:rFonts w:cs="Calibri"/>
          <w:sz w:val="20"/>
          <w:szCs w:val="20"/>
        </w:rPr>
      </w:pPr>
      <w:hyperlink r:id="rId13" w:history="1">
        <w:r w:rsidR="0019575F" w:rsidRPr="00530062">
          <w:rPr>
            <w:rStyle w:val="Hipervnculo"/>
            <w:rFonts w:cs="Calibri"/>
            <w:sz w:val="20"/>
            <w:szCs w:val="20"/>
          </w:rPr>
          <w:t>https://boletines.guanajuato.gob.mx/2026/03/24/guanajuato-fortalece-su-desarrollo-economico-con-resultados-del-eje-de-prosperidad/</w:t>
        </w:r>
      </w:hyperlink>
    </w:p>
    <w:p w14:paraId="7B1B8C5E" w14:textId="77777777" w:rsidR="0019575F" w:rsidRDefault="0019575F" w:rsidP="00516A8F">
      <w:pPr>
        <w:tabs>
          <w:tab w:val="left" w:leader="underscore" w:pos="9639"/>
        </w:tabs>
        <w:spacing w:after="0" w:line="240" w:lineRule="auto"/>
        <w:jc w:val="both"/>
        <w:rPr>
          <w:rFonts w:cs="Calibri"/>
          <w:sz w:val="20"/>
          <w:szCs w:val="20"/>
        </w:rPr>
      </w:pPr>
    </w:p>
    <w:p w14:paraId="08136E94" w14:textId="40BF43B8" w:rsidR="007D1E76" w:rsidRPr="009F6E4B" w:rsidRDefault="009736CB" w:rsidP="000C3365">
      <w:pPr>
        <w:pStyle w:val="Ttulo2"/>
        <w:rPr>
          <w:rFonts w:asciiTheme="minorHAnsi" w:hAnsiTheme="minorHAnsi" w:cstheme="minorHAnsi"/>
          <w:b/>
          <w:color w:val="auto"/>
          <w:sz w:val="20"/>
          <w:szCs w:val="20"/>
        </w:rPr>
      </w:pPr>
      <w:bookmarkStart w:id="3" w:name="_Toc227665760"/>
      <w:r w:rsidRPr="009F6E4B">
        <w:rPr>
          <w:rFonts w:asciiTheme="minorHAnsi" w:hAnsiTheme="minorHAnsi" w:cstheme="minorHAnsi"/>
          <w:b/>
          <w:color w:val="auto"/>
          <w:sz w:val="20"/>
          <w:szCs w:val="20"/>
        </w:rPr>
        <w:t>3</w:t>
      </w:r>
      <w:r w:rsidR="007D1E76" w:rsidRPr="009F6E4B">
        <w:rPr>
          <w:rFonts w:asciiTheme="minorHAnsi" w:hAnsiTheme="minorHAnsi" w:cstheme="minorHAnsi"/>
          <w:b/>
          <w:color w:val="auto"/>
          <w:sz w:val="20"/>
          <w:szCs w:val="20"/>
        </w:rPr>
        <w:t xml:space="preserve">. </w:t>
      </w:r>
      <w:r w:rsidR="00E00323" w:rsidRPr="009F6E4B">
        <w:rPr>
          <w:rFonts w:asciiTheme="minorHAnsi" w:hAnsiTheme="minorHAnsi" w:cstheme="minorHAnsi"/>
          <w:b/>
          <w:color w:val="auto"/>
          <w:sz w:val="20"/>
          <w:szCs w:val="20"/>
        </w:rPr>
        <w:t>Organización y Objeto Social:</w:t>
      </w:r>
      <w:bookmarkEnd w:id="3"/>
    </w:p>
    <w:p w14:paraId="6C85E52D" w14:textId="77777777" w:rsidR="007D1E76" w:rsidRPr="009F6E4B" w:rsidRDefault="007D1E76" w:rsidP="00CB41C4">
      <w:pPr>
        <w:tabs>
          <w:tab w:val="left" w:leader="underscore" w:pos="9639"/>
        </w:tabs>
        <w:spacing w:after="0" w:line="240" w:lineRule="auto"/>
        <w:jc w:val="both"/>
        <w:rPr>
          <w:rFonts w:cs="Calibri"/>
          <w:sz w:val="20"/>
          <w:szCs w:val="20"/>
        </w:rPr>
      </w:pPr>
    </w:p>
    <w:p w14:paraId="67B5DF23"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473E4237" w14:textId="77777777" w:rsidR="007D1E76" w:rsidRPr="009F6E4B" w:rsidRDefault="007D1E76" w:rsidP="00CB41C4">
      <w:pPr>
        <w:tabs>
          <w:tab w:val="left" w:leader="underscore" w:pos="9639"/>
        </w:tabs>
        <w:spacing w:after="0" w:line="240" w:lineRule="auto"/>
        <w:jc w:val="both"/>
        <w:rPr>
          <w:rFonts w:cs="Calibri"/>
          <w:sz w:val="20"/>
          <w:szCs w:val="20"/>
        </w:rPr>
      </w:pPr>
    </w:p>
    <w:p w14:paraId="3A7F2587"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a)</w:t>
      </w:r>
      <w:r w:rsidRPr="009F6E4B">
        <w:rPr>
          <w:rFonts w:cs="Calibri"/>
          <w:sz w:val="20"/>
          <w:szCs w:val="20"/>
        </w:rPr>
        <w:t xml:space="preserve"> Objeto social.</w:t>
      </w:r>
    </w:p>
    <w:p w14:paraId="7D54088C" w14:textId="77777777" w:rsidR="00B07431" w:rsidRPr="009F6E4B" w:rsidRDefault="00B07431" w:rsidP="005B478F">
      <w:pPr>
        <w:tabs>
          <w:tab w:val="left" w:leader="underscore" w:pos="9923"/>
        </w:tabs>
        <w:spacing w:after="0"/>
        <w:jc w:val="both"/>
        <w:rPr>
          <w:rFonts w:cs="Arial"/>
          <w:b/>
          <w:bCs/>
          <w:sz w:val="20"/>
          <w:szCs w:val="20"/>
        </w:rPr>
      </w:pPr>
      <w:bookmarkStart w:id="4" w:name="_Toc188864625"/>
    </w:p>
    <w:p w14:paraId="26DBB0D6" w14:textId="3A80E98A" w:rsidR="00BA34B4" w:rsidRPr="009F6E4B" w:rsidRDefault="00BA34B4" w:rsidP="005B478F">
      <w:pPr>
        <w:tabs>
          <w:tab w:val="left" w:leader="underscore" w:pos="9923"/>
        </w:tabs>
        <w:spacing w:after="0"/>
        <w:jc w:val="both"/>
        <w:rPr>
          <w:rFonts w:cs="Arial"/>
          <w:b/>
          <w:bCs/>
          <w:sz w:val="20"/>
          <w:szCs w:val="20"/>
        </w:rPr>
      </w:pPr>
      <w:r w:rsidRPr="009F6E4B">
        <w:rPr>
          <w:rFonts w:cs="Arial"/>
          <w:b/>
          <w:bCs/>
          <w:sz w:val="20"/>
          <w:szCs w:val="20"/>
        </w:rPr>
        <w:t>Misión</w:t>
      </w:r>
      <w:r w:rsidR="00504B51" w:rsidRPr="009F6E4B">
        <w:rPr>
          <w:rFonts w:cs="Arial"/>
          <w:b/>
          <w:bCs/>
          <w:sz w:val="20"/>
          <w:szCs w:val="20"/>
        </w:rPr>
        <w:t xml:space="preserve"> </w:t>
      </w:r>
      <w:bookmarkEnd w:id="4"/>
    </w:p>
    <w:p w14:paraId="48DF7018" w14:textId="77777777" w:rsidR="007E6719" w:rsidRDefault="007E6719" w:rsidP="007E6719">
      <w:pPr>
        <w:spacing w:after="0"/>
        <w:jc w:val="both"/>
        <w:rPr>
          <w:rFonts w:cs="Arial"/>
          <w:sz w:val="20"/>
          <w:szCs w:val="20"/>
        </w:rPr>
      </w:pPr>
    </w:p>
    <w:p w14:paraId="1C6E2D30" w14:textId="77777777" w:rsidR="007E6719" w:rsidRDefault="007E6719" w:rsidP="007E6719">
      <w:pPr>
        <w:spacing w:after="0"/>
        <w:jc w:val="both"/>
        <w:rPr>
          <w:rFonts w:cs="Arial"/>
          <w:sz w:val="20"/>
          <w:szCs w:val="20"/>
        </w:rPr>
      </w:pPr>
      <w:r w:rsidRPr="009F6E4B">
        <w:rPr>
          <w:rFonts w:cs="Arial"/>
          <w:sz w:val="20"/>
          <w:szCs w:val="20"/>
        </w:rPr>
        <w:t>Somos el gobierno de la Capital del Estado y Ciudad Patrimonio Cultural de la Humanidad por la UNESCO, así como la</w:t>
      </w:r>
      <w:r>
        <w:rPr>
          <w:rFonts w:cs="Arial"/>
          <w:sz w:val="20"/>
          <w:szCs w:val="20"/>
        </w:rPr>
        <w:t xml:space="preserve"> Capital Cervantina de América. </w:t>
      </w:r>
      <w:r w:rsidRPr="007E6719">
        <w:rPr>
          <w:rFonts w:cs="Arial"/>
          <w:sz w:val="20"/>
          <w:szCs w:val="20"/>
        </w:rPr>
        <w:t xml:space="preserve">Por lo anterior, nuestra Misión es: </w:t>
      </w:r>
    </w:p>
    <w:p w14:paraId="005724E1" w14:textId="77777777" w:rsidR="007E6719" w:rsidRDefault="007E6719" w:rsidP="007E6719">
      <w:pPr>
        <w:spacing w:after="0"/>
        <w:jc w:val="both"/>
        <w:rPr>
          <w:rFonts w:cs="Arial"/>
          <w:sz w:val="20"/>
          <w:szCs w:val="20"/>
        </w:rPr>
      </w:pPr>
    </w:p>
    <w:p w14:paraId="1976FBEE" w14:textId="10D4C08B" w:rsidR="007E6719" w:rsidRPr="009F6E4B" w:rsidRDefault="007E6719" w:rsidP="007E6719">
      <w:pPr>
        <w:spacing w:after="0"/>
        <w:jc w:val="both"/>
        <w:rPr>
          <w:rFonts w:cs="Arial"/>
          <w:sz w:val="20"/>
          <w:szCs w:val="20"/>
        </w:rPr>
      </w:pPr>
      <w:r>
        <w:rPr>
          <w:rFonts w:cs="Arial"/>
          <w:sz w:val="20"/>
          <w:szCs w:val="20"/>
        </w:rPr>
        <w:t>“</w:t>
      </w:r>
      <w:r w:rsidRPr="007E6719">
        <w:rPr>
          <w:rFonts w:cs="Arial"/>
          <w:sz w:val="20"/>
          <w:szCs w:val="20"/>
        </w:rPr>
        <w:t>Construir un Guanajuato fuerte, honesto, resiliente y comprometido con el bienestar de todos sus habita</w:t>
      </w:r>
      <w:r w:rsidR="00CA6F8A">
        <w:rPr>
          <w:rFonts w:cs="Arial"/>
          <w:sz w:val="20"/>
          <w:szCs w:val="20"/>
        </w:rPr>
        <w:t>ntes. Nuestro gobierno trabaja</w:t>
      </w:r>
      <w:r w:rsidRPr="007E6719">
        <w:rPr>
          <w:rFonts w:cs="Arial"/>
          <w:sz w:val="20"/>
          <w:szCs w:val="20"/>
        </w:rPr>
        <w:t xml:space="preserve"> con integridad, orgullo y determinación, promoviendo el orden y acciones responsables que fomenten la transparencia y el sentido de comunidad. Desde la innovación y </w:t>
      </w:r>
      <w:r w:rsidR="00CA6F8A">
        <w:rPr>
          <w:rFonts w:cs="Arial"/>
          <w:sz w:val="20"/>
          <w:szCs w:val="20"/>
        </w:rPr>
        <w:t>con un equipo unido, ofrecemos</w:t>
      </w:r>
      <w:r w:rsidRPr="007E6719">
        <w:rPr>
          <w:rFonts w:cs="Arial"/>
          <w:sz w:val="20"/>
          <w:szCs w:val="20"/>
        </w:rPr>
        <w:t xml:space="preserve"> soluciones efectivas </w:t>
      </w:r>
      <w:r w:rsidRPr="007E6719">
        <w:rPr>
          <w:rFonts w:cs="Arial"/>
          <w:sz w:val="20"/>
          <w:szCs w:val="20"/>
        </w:rPr>
        <w:lastRenderedPageBreak/>
        <w:t>y modernas para mejorar la calidad de vida de cada ciudadano. Guiados por nuestros valores de confianza, desar</w:t>
      </w:r>
      <w:r w:rsidR="00CA6F8A">
        <w:rPr>
          <w:rFonts w:cs="Arial"/>
          <w:sz w:val="20"/>
          <w:szCs w:val="20"/>
        </w:rPr>
        <w:t>rollo y cooperación, avanzamos</w:t>
      </w:r>
      <w:r w:rsidRPr="007E6719">
        <w:rPr>
          <w:rFonts w:cs="Arial"/>
          <w:sz w:val="20"/>
          <w:szCs w:val="20"/>
        </w:rPr>
        <w:t xml:space="preserve"> juntos para hacer de Guanajuato un referente de progreso y patrimonio compar</w:t>
      </w:r>
      <w:r>
        <w:rPr>
          <w:rFonts w:cs="Arial"/>
          <w:sz w:val="20"/>
          <w:szCs w:val="20"/>
        </w:rPr>
        <w:t>tido de identidad y solidaridad”.</w:t>
      </w:r>
    </w:p>
    <w:p w14:paraId="6594647E" w14:textId="77777777" w:rsidR="00504B51" w:rsidRPr="009F6E4B" w:rsidRDefault="00504B51" w:rsidP="00BA34B4">
      <w:pPr>
        <w:tabs>
          <w:tab w:val="left" w:leader="underscore" w:pos="9923"/>
        </w:tabs>
        <w:spacing w:after="0"/>
        <w:jc w:val="both"/>
        <w:rPr>
          <w:rFonts w:cs="Arial"/>
          <w:b/>
          <w:bCs/>
          <w:sz w:val="20"/>
          <w:szCs w:val="20"/>
        </w:rPr>
      </w:pPr>
    </w:p>
    <w:p w14:paraId="7A2917FC" w14:textId="70D5F626" w:rsidR="00EC077C" w:rsidRPr="009F6E4B" w:rsidRDefault="00EC077C" w:rsidP="00EC077C">
      <w:pPr>
        <w:tabs>
          <w:tab w:val="left" w:leader="underscore" w:pos="9923"/>
        </w:tabs>
        <w:spacing w:after="0"/>
        <w:jc w:val="both"/>
        <w:rPr>
          <w:rFonts w:cs="Arial"/>
          <w:b/>
          <w:bCs/>
          <w:sz w:val="20"/>
          <w:szCs w:val="20"/>
        </w:rPr>
      </w:pPr>
      <w:r w:rsidRPr="009F6E4B">
        <w:rPr>
          <w:rFonts w:cs="Arial"/>
          <w:b/>
          <w:bCs/>
          <w:sz w:val="20"/>
          <w:szCs w:val="20"/>
        </w:rPr>
        <w:t>Vis</w:t>
      </w:r>
      <w:r w:rsidR="005B478F" w:rsidRPr="009F6E4B">
        <w:rPr>
          <w:rFonts w:cs="Arial"/>
          <w:b/>
          <w:bCs/>
          <w:sz w:val="20"/>
          <w:szCs w:val="20"/>
        </w:rPr>
        <w:t>ión</w:t>
      </w:r>
    </w:p>
    <w:p w14:paraId="0A29A199" w14:textId="77777777" w:rsidR="00EC077C" w:rsidRPr="009F6E4B" w:rsidRDefault="00EC077C" w:rsidP="00BA34B4">
      <w:pPr>
        <w:tabs>
          <w:tab w:val="left" w:leader="underscore" w:pos="9923"/>
        </w:tabs>
        <w:spacing w:after="0"/>
        <w:jc w:val="both"/>
        <w:rPr>
          <w:rFonts w:cs="Arial"/>
          <w:b/>
          <w:bCs/>
          <w:sz w:val="20"/>
          <w:szCs w:val="20"/>
        </w:rPr>
      </w:pPr>
    </w:p>
    <w:p w14:paraId="1A450361" w14:textId="77777777" w:rsidR="007E6719" w:rsidRPr="007E6719" w:rsidRDefault="007E6719" w:rsidP="00EC077C">
      <w:pPr>
        <w:jc w:val="both"/>
        <w:rPr>
          <w:rFonts w:cs="Arial"/>
          <w:b/>
          <w:sz w:val="20"/>
          <w:szCs w:val="20"/>
        </w:rPr>
      </w:pPr>
      <w:r w:rsidRPr="007E6719">
        <w:rPr>
          <w:rFonts w:cs="Arial"/>
          <w:b/>
          <w:sz w:val="20"/>
          <w:szCs w:val="20"/>
        </w:rPr>
        <w:t xml:space="preserve">“Guanajuato te Queremos Fuerte y Honesto” </w:t>
      </w:r>
      <w:r w:rsidRPr="007E6719">
        <w:rPr>
          <w:rFonts w:cs="Arial"/>
          <w:sz w:val="20"/>
          <w:szCs w:val="20"/>
        </w:rPr>
        <w:t>para todos.</w:t>
      </w:r>
      <w:r w:rsidRPr="007E6719">
        <w:rPr>
          <w:rFonts w:cs="Arial"/>
          <w:b/>
          <w:sz w:val="20"/>
          <w:szCs w:val="20"/>
        </w:rPr>
        <w:t xml:space="preserve"> </w:t>
      </w:r>
    </w:p>
    <w:p w14:paraId="3B25D114" w14:textId="77777777" w:rsidR="007E6719" w:rsidRPr="007E6719" w:rsidRDefault="007E6719" w:rsidP="007E6719">
      <w:pPr>
        <w:jc w:val="both"/>
        <w:rPr>
          <w:rFonts w:cs="Arial"/>
          <w:sz w:val="20"/>
          <w:szCs w:val="20"/>
        </w:rPr>
      </w:pPr>
      <w:r w:rsidRPr="007E6719">
        <w:rPr>
          <w:rFonts w:cs="Arial"/>
          <w:sz w:val="20"/>
          <w:szCs w:val="20"/>
        </w:rPr>
        <w:t>1. Veo un Guanajuato en el que sus habitantes se sienten orgullosos de vivir en un municipio seguro, limpio y ordenado.</w:t>
      </w:r>
    </w:p>
    <w:p w14:paraId="40FCB556" w14:textId="77777777" w:rsidR="007E6719" w:rsidRPr="007E6719" w:rsidRDefault="007E6719" w:rsidP="007E6719">
      <w:pPr>
        <w:jc w:val="both"/>
        <w:rPr>
          <w:rFonts w:cs="Arial"/>
          <w:sz w:val="20"/>
          <w:szCs w:val="20"/>
        </w:rPr>
      </w:pPr>
      <w:r w:rsidRPr="007E6719">
        <w:rPr>
          <w:rFonts w:cs="Arial"/>
          <w:sz w:val="20"/>
          <w:szCs w:val="20"/>
        </w:rPr>
        <w:t xml:space="preserve">2. Conscientes de la responsabilidad de tener una ciudad turística, minera, universitaria y patrimonio cultural de la humanidad. </w:t>
      </w:r>
    </w:p>
    <w:p w14:paraId="669A1349" w14:textId="77777777" w:rsidR="007E6719" w:rsidRPr="007E6719" w:rsidRDefault="007E6719" w:rsidP="007E6719">
      <w:pPr>
        <w:jc w:val="both"/>
        <w:rPr>
          <w:rFonts w:cs="Arial"/>
          <w:sz w:val="20"/>
          <w:szCs w:val="20"/>
        </w:rPr>
      </w:pPr>
      <w:r w:rsidRPr="007E6719">
        <w:rPr>
          <w:rFonts w:cs="Arial"/>
          <w:sz w:val="20"/>
          <w:szCs w:val="20"/>
        </w:rPr>
        <w:t xml:space="preserve">3. Comprometidos con el respeto a sus semejantes, a los espacios públicos, al medio ambiente y a la autoridad. </w:t>
      </w:r>
    </w:p>
    <w:p w14:paraId="5526AC6D" w14:textId="77777777" w:rsidR="007E6719" w:rsidRPr="007E6719" w:rsidRDefault="007E6719" w:rsidP="007E6719">
      <w:pPr>
        <w:jc w:val="both"/>
        <w:rPr>
          <w:rFonts w:cs="Arial"/>
          <w:sz w:val="20"/>
          <w:szCs w:val="20"/>
        </w:rPr>
      </w:pPr>
      <w:r w:rsidRPr="007E6719">
        <w:rPr>
          <w:rFonts w:cs="Arial"/>
          <w:sz w:val="20"/>
          <w:szCs w:val="20"/>
        </w:rPr>
        <w:t xml:space="preserve">4. Participando en una gran alianza con su gobierno municipal para generar oportunidades de desarrollo en un marco de confianza, credibilidad y apertura. </w:t>
      </w:r>
    </w:p>
    <w:p w14:paraId="090529A6" w14:textId="47B1ADE9" w:rsidR="007E6719" w:rsidRPr="007E6719" w:rsidRDefault="007E6719" w:rsidP="007E6719">
      <w:pPr>
        <w:jc w:val="both"/>
        <w:rPr>
          <w:rFonts w:cs="Arial"/>
          <w:sz w:val="20"/>
          <w:szCs w:val="20"/>
        </w:rPr>
      </w:pPr>
      <w:r w:rsidRPr="007E6719">
        <w:rPr>
          <w:rFonts w:cs="Arial"/>
          <w:sz w:val="20"/>
          <w:szCs w:val="20"/>
        </w:rPr>
        <w:t>5. En convivencia con servidores públicos capaces, fuertes y honestos que trabajan en equipo para resolver los desafíos que vienen con el crecimiento y la prosperidad.</w:t>
      </w:r>
    </w:p>
    <w:p w14:paraId="547E962F" w14:textId="7B1D3C2B" w:rsidR="005B478F" w:rsidRPr="009F6E4B" w:rsidRDefault="005B478F" w:rsidP="005B478F">
      <w:pPr>
        <w:tabs>
          <w:tab w:val="left" w:leader="underscore" w:pos="9923"/>
        </w:tabs>
        <w:spacing w:after="0"/>
        <w:jc w:val="both"/>
        <w:rPr>
          <w:rFonts w:cs="Arial"/>
          <w:b/>
          <w:bCs/>
          <w:sz w:val="20"/>
          <w:szCs w:val="20"/>
        </w:rPr>
      </w:pPr>
      <w:r w:rsidRPr="009F6E4B">
        <w:rPr>
          <w:rFonts w:cs="Arial"/>
          <w:b/>
          <w:bCs/>
          <w:sz w:val="20"/>
          <w:szCs w:val="20"/>
        </w:rPr>
        <w:t>Valores</w:t>
      </w:r>
    </w:p>
    <w:p w14:paraId="17546A09" w14:textId="77777777" w:rsidR="005B478F" w:rsidRPr="009F6E4B" w:rsidRDefault="005B478F" w:rsidP="005B478F">
      <w:pPr>
        <w:tabs>
          <w:tab w:val="left" w:leader="underscore" w:pos="9639"/>
        </w:tabs>
        <w:spacing w:after="0" w:line="240" w:lineRule="auto"/>
        <w:jc w:val="both"/>
        <w:rPr>
          <w:rFonts w:cs="Calibri"/>
          <w:sz w:val="20"/>
          <w:szCs w:val="20"/>
        </w:rPr>
      </w:pPr>
    </w:p>
    <w:p w14:paraId="4F990F60" w14:textId="77777777" w:rsidR="00A35661" w:rsidRP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Fortaleza. - </w:t>
      </w:r>
      <w:r w:rsidRPr="00A35661">
        <w:rPr>
          <w:sz w:val="20"/>
          <w:szCs w:val="20"/>
        </w:rPr>
        <w:t>Enfrentar desafíos con resiliencia y determinación para mantener la estabilidad</w:t>
      </w:r>
      <w:r w:rsidRPr="00A35661">
        <w:rPr>
          <w:b/>
          <w:bCs/>
          <w:sz w:val="20"/>
          <w:szCs w:val="20"/>
        </w:rPr>
        <w:t>.</w:t>
      </w:r>
    </w:p>
    <w:p w14:paraId="543E4B7F" w14:textId="488BE775" w:rsidR="00A35661" w:rsidRPr="00A35661" w:rsidRDefault="005B478F" w:rsidP="00A35661">
      <w:pPr>
        <w:pStyle w:val="Prrafodelista"/>
        <w:numPr>
          <w:ilvl w:val="0"/>
          <w:numId w:val="9"/>
        </w:numPr>
        <w:spacing w:after="160" w:line="259" w:lineRule="auto"/>
        <w:jc w:val="both"/>
        <w:rPr>
          <w:sz w:val="20"/>
          <w:szCs w:val="20"/>
        </w:rPr>
      </w:pPr>
      <w:r w:rsidRPr="00A35661">
        <w:rPr>
          <w:b/>
          <w:bCs/>
          <w:sz w:val="20"/>
          <w:szCs w:val="20"/>
        </w:rPr>
        <w:t>Resiliencia. -</w:t>
      </w:r>
      <w:r w:rsidRPr="00A35661">
        <w:rPr>
          <w:sz w:val="20"/>
          <w:szCs w:val="20"/>
        </w:rPr>
        <w:t>-Buscaremos reinventarnos ante cualquier circunstancia, aprendiendo de la experiencia y creando una mejor versión de nosotros y nuestro equipo cada día.</w:t>
      </w:r>
    </w:p>
    <w:p w14:paraId="71133754" w14:textId="77777777" w:rsid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Honestidad. </w:t>
      </w:r>
      <w:r w:rsidRPr="00A35661">
        <w:rPr>
          <w:sz w:val="20"/>
          <w:szCs w:val="20"/>
        </w:rPr>
        <w:t>- Actuar con integridad y ética, colocando siempre los intereses de los ciudadanos por encima de cualquier beneficio personal.</w:t>
      </w:r>
      <w:r w:rsidR="00A35661">
        <w:rPr>
          <w:sz w:val="20"/>
          <w:szCs w:val="20"/>
        </w:rPr>
        <w:t xml:space="preserve"> </w:t>
      </w:r>
      <w:r w:rsidRPr="00A35661">
        <w:rPr>
          <w:sz w:val="20"/>
          <w:szCs w:val="20"/>
        </w:rPr>
        <w:t xml:space="preserve">La transparencia garantiza que todas las operaciones y decisiones sean accesibles comprensibles para la ciudadanía, fomentando confianza pública. </w:t>
      </w:r>
    </w:p>
    <w:p w14:paraId="5C401CCD" w14:textId="77777777" w:rsidR="00A35661" w:rsidRDefault="005B478F" w:rsidP="00A35661">
      <w:pPr>
        <w:pStyle w:val="Prrafodelista"/>
        <w:numPr>
          <w:ilvl w:val="0"/>
          <w:numId w:val="9"/>
        </w:numPr>
        <w:spacing w:after="160" w:line="259" w:lineRule="auto"/>
        <w:jc w:val="both"/>
        <w:rPr>
          <w:sz w:val="20"/>
          <w:szCs w:val="20"/>
        </w:rPr>
      </w:pPr>
      <w:r w:rsidRPr="00A35661">
        <w:rPr>
          <w:b/>
          <w:bCs/>
          <w:sz w:val="20"/>
          <w:szCs w:val="20"/>
        </w:rPr>
        <w:t>Compromiso</w:t>
      </w:r>
      <w:r w:rsidRPr="00A35661">
        <w:rPr>
          <w:sz w:val="20"/>
          <w:szCs w:val="20"/>
        </w:rPr>
        <w:t>. - La dedicación constante para mejorar la calidad de vida de los guanajuatenses, cumpliendo las promesas y objetivos de gobierno:</w:t>
      </w:r>
      <w:r w:rsidR="00A35661">
        <w:rPr>
          <w:sz w:val="20"/>
          <w:szCs w:val="20"/>
        </w:rPr>
        <w:t xml:space="preserve"> </w:t>
      </w:r>
      <w:r w:rsidRPr="00A35661">
        <w:rPr>
          <w:sz w:val="20"/>
          <w:szCs w:val="20"/>
        </w:rPr>
        <w:t>Resolución de problemas</w:t>
      </w:r>
      <w:r w:rsidR="00A35661">
        <w:rPr>
          <w:sz w:val="20"/>
          <w:szCs w:val="20"/>
        </w:rPr>
        <w:t xml:space="preserve">, Actitud proactiva y </w:t>
      </w:r>
      <w:r w:rsidRPr="00A35661">
        <w:rPr>
          <w:sz w:val="20"/>
          <w:szCs w:val="20"/>
        </w:rPr>
        <w:t>Propositivo.</w:t>
      </w:r>
    </w:p>
    <w:p w14:paraId="5EDA9B06" w14:textId="0BCD7DBD" w:rsidR="00A35661" w:rsidRDefault="00A35661" w:rsidP="005B478F">
      <w:pPr>
        <w:pStyle w:val="Prrafodelista"/>
        <w:numPr>
          <w:ilvl w:val="0"/>
          <w:numId w:val="9"/>
        </w:numPr>
        <w:spacing w:after="160" w:line="259" w:lineRule="auto"/>
        <w:jc w:val="both"/>
        <w:rPr>
          <w:sz w:val="20"/>
          <w:szCs w:val="20"/>
        </w:rPr>
      </w:pPr>
      <w:r>
        <w:rPr>
          <w:b/>
          <w:bCs/>
          <w:sz w:val="20"/>
          <w:szCs w:val="20"/>
        </w:rPr>
        <w:t>Orden</w:t>
      </w:r>
      <w:r w:rsidR="005B478F" w:rsidRPr="00A35661">
        <w:rPr>
          <w:b/>
          <w:bCs/>
          <w:sz w:val="20"/>
          <w:szCs w:val="20"/>
        </w:rPr>
        <w:t xml:space="preserve">. - </w:t>
      </w:r>
      <w:r w:rsidR="005B478F" w:rsidRPr="00A35661">
        <w:rPr>
          <w:bCs/>
          <w:sz w:val="20"/>
          <w:szCs w:val="20"/>
        </w:rPr>
        <w:t xml:space="preserve">Eficiencia en la gestión de los recursos y servicios, asegurando una ciudad limpia, segura y funcional. </w:t>
      </w:r>
      <w:r w:rsidR="005B478F" w:rsidRPr="00A35661">
        <w:rPr>
          <w:sz w:val="20"/>
          <w:szCs w:val="20"/>
        </w:rPr>
        <w:t>Un gobierno con orden establece sistemas y procesos eficientes para gestionar recursos y servicios de manera efectiva.</w:t>
      </w:r>
    </w:p>
    <w:p w14:paraId="5DDFEF41" w14:textId="03A5D9AC" w:rsid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Trabajo en equipo. - </w:t>
      </w:r>
      <w:r w:rsidRPr="00A35661">
        <w:rPr>
          <w:bCs/>
          <w:sz w:val="20"/>
          <w:szCs w:val="20"/>
        </w:rPr>
        <w:t>Trabajar en conjunto con todos los sectores sociales fomentado la inclusión y el sentido de pertenencia.</w:t>
      </w:r>
      <w:r w:rsidR="00A35661">
        <w:rPr>
          <w:bCs/>
          <w:sz w:val="20"/>
          <w:szCs w:val="20"/>
        </w:rPr>
        <w:t xml:space="preserve"> </w:t>
      </w:r>
      <w:r w:rsidR="00A35661">
        <w:rPr>
          <w:sz w:val="20"/>
          <w:szCs w:val="20"/>
        </w:rPr>
        <w:t xml:space="preserve">Efectividad, Unidad, Corresponsabilidad e </w:t>
      </w:r>
      <w:r w:rsidRPr="00A35661">
        <w:rPr>
          <w:sz w:val="20"/>
          <w:szCs w:val="20"/>
        </w:rPr>
        <w:t>Involucramiento activo</w:t>
      </w:r>
      <w:r w:rsidR="00A35661">
        <w:rPr>
          <w:sz w:val="20"/>
          <w:szCs w:val="20"/>
        </w:rPr>
        <w:t>.</w:t>
      </w:r>
    </w:p>
    <w:p w14:paraId="303A8D76" w14:textId="77777777" w:rsidR="00A35661" w:rsidRPr="00A35661" w:rsidRDefault="005B478F" w:rsidP="005B478F">
      <w:pPr>
        <w:pStyle w:val="Prrafodelista"/>
        <w:numPr>
          <w:ilvl w:val="0"/>
          <w:numId w:val="9"/>
        </w:numPr>
        <w:spacing w:after="160" w:line="259" w:lineRule="auto"/>
        <w:jc w:val="both"/>
        <w:rPr>
          <w:sz w:val="20"/>
          <w:szCs w:val="20"/>
        </w:rPr>
      </w:pPr>
      <w:r w:rsidRPr="00A35661">
        <w:rPr>
          <w:b/>
          <w:bCs/>
          <w:sz w:val="20"/>
          <w:szCs w:val="20"/>
        </w:rPr>
        <w:t xml:space="preserve">Creatividad e innovación. – </w:t>
      </w:r>
      <w:r w:rsidRPr="00A35661">
        <w:rPr>
          <w:sz w:val="20"/>
          <w:szCs w:val="20"/>
        </w:rPr>
        <w:t>Capacidad de salir de la zona de confort, reinventarse, solución creativa de problemas, pensamiento estratégico, visión a largo plaz</w:t>
      </w:r>
      <w:r w:rsidR="00A35661">
        <w:rPr>
          <w:sz w:val="20"/>
          <w:szCs w:val="20"/>
        </w:rPr>
        <w:t>o y capacidad de autoevaluación.</w:t>
      </w:r>
    </w:p>
    <w:p w14:paraId="40BABA1F" w14:textId="7ABCDA4B" w:rsidR="005B478F" w:rsidRPr="00A35661" w:rsidRDefault="005B478F" w:rsidP="00A35661">
      <w:pPr>
        <w:pStyle w:val="Prrafodelista"/>
        <w:numPr>
          <w:ilvl w:val="0"/>
          <w:numId w:val="9"/>
        </w:numPr>
        <w:spacing w:after="160" w:line="259" w:lineRule="auto"/>
        <w:jc w:val="both"/>
        <w:rPr>
          <w:sz w:val="20"/>
          <w:szCs w:val="20"/>
        </w:rPr>
      </w:pPr>
      <w:r w:rsidRPr="00A35661">
        <w:rPr>
          <w:b/>
          <w:bCs/>
          <w:sz w:val="20"/>
          <w:szCs w:val="20"/>
        </w:rPr>
        <w:lastRenderedPageBreak/>
        <w:t xml:space="preserve">Solidaridad. </w:t>
      </w:r>
      <w:r w:rsidRPr="00A35661">
        <w:rPr>
          <w:sz w:val="20"/>
          <w:szCs w:val="20"/>
        </w:rPr>
        <w:t>– Es un valor que se basa en el respeto a la dignidad de las personas.</w:t>
      </w:r>
      <w:r w:rsidR="00A35661">
        <w:rPr>
          <w:sz w:val="20"/>
          <w:szCs w:val="20"/>
        </w:rPr>
        <w:t xml:space="preserve"> </w:t>
      </w:r>
      <w:r w:rsidRPr="00A35661">
        <w:rPr>
          <w:sz w:val="20"/>
          <w:szCs w:val="20"/>
        </w:rPr>
        <w:t>Implica ser consciente de las necesidades de los demás y querer ayudar a satisfacerlas.</w:t>
      </w:r>
      <w:r w:rsidR="00A35661">
        <w:rPr>
          <w:sz w:val="20"/>
          <w:szCs w:val="20"/>
        </w:rPr>
        <w:t xml:space="preserve"> </w:t>
      </w:r>
      <w:r w:rsidRPr="00A35661">
        <w:rPr>
          <w:sz w:val="20"/>
          <w:szCs w:val="20"/>
        </w:rPr>
        <w:t>Amor al servicio</w:t>
      </w:r>
      <w:r w:rsidR="00A35661">
        <w:rPr>
          <w:sz w:val="20"/>
          <w:szCs w:val="20"/>
        </w:rPr>
        <w:t xml:space="preserve"> y </w:t>
      </w:r>
      <w:r w:rsidRPr="00A35661">
        <w:rPr>
          <w:sz w:val="20"/>
          <w:szCs w:val="20"/>
        </w:rPr>
        <w:t>Empatía</w:t>
      </w:r>
      <w:r w:rsidR="00A35661">
        <w:rPr>
          <w:sz w:val="20"/>
          <w:szCs w:val="20"/>
        </w:rPr>
        <w:t>.</w:t>
      </w:r>
    </w:p>
    <w:p w14:paraId="27041984" w14:textId="77777777" w:rsidR="00654F1D" w:rsidRPr="009F6E4B" w:rsidRDefault="00654F1D" w:rsidP="00CB41C4">
      <w:pPr>
        <w:tabs>
          <w:tab w:val="left" w:leader="underscore" w:pos="9639"/>
        </w:tabs>
        <w:spacing w:after="0" w:line="240" w:lineRule="auto"/>
        <w:jc w:val="both"/>
        <w:rPr>
          <w:rFonts w:cs="Calibri"/>
          <w:sz w:val="20"/>
          <w:szCs w:val="20"/>
        </w:rPr>
      </w:pPr>
    </w:p>
    <w:p w14:paraId="2C110A08"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b)</w:t>
      </w:r>
      <w:r w:rsidRPr="009F6E4B">
        <w:rPr>
          <w:rFonts w:cs="Calibri"/>
          <w:sz w:val="20"/>
          <w:szCs w:val="20"/>
        </w:rPr>
        <w:t xml:space="preserve"> Principal actividad.</w:t>
      </w:r>
    </w:p>
    <w:p w14:paraId="54B4A861" w14:textId="77777777" w:rsidR="00BA34B4" w:rsidRPr="009F6E4B" w:rsidRDefault="00BA34B4" w:rsidP="00CB41C4">
      <w:pPr>
        <w:tabs>
          <w:tab w:val="left" w:leader="underscore" w:pos="9639"/>
        </w:tabs>
        <w:spacing w:after="0" w:line="240" w:lineRule="auto"/>
        <w:jc w:val="both"/>
        <w:rPr>
          <w:rFonts w:cs="Calibri"/>
          <w:sz w:val="20"/>
          <w:szCs w:val="20"/>
        </w:rPr>
      </w:pPr>
    </w:p>
    <w:p w14:paraId="31AC81A2" w14:textId="49FCF32B" w:rsidR="00BA34B4" w:rsidRPr="009F6E4B" w:rsidRDefault="00BA34B4" w:rsidP="00BA34B4">
      <w:pPr>
        <w:spacing w:after="0"/>
        <w:jc w:val="both"/>
        <w:rPr>
          <w:rFonts w:cs="Calibri"/>
          <w:sz w:val="20"/>
          <w:szCs w:val="20"/>
        </w:rPr>
      </w:pPr>
      <w:r w:rsidRPr="009F6E4B">
        <w:rPr>
          <w:rFonts w:cs="Arial"/>
          <w:sz w:val="20"/>
          <w:szCs w:val="20"/>
        </w:rPr>
        <w:t>Administrar la Hacienda Pública Municipal en general y actividades de asistencia.</w:t>
      </w:r>
    </w:p>
    <w:p w14:paraId="5329D3F7" w14:textId="77777777" w:rsidR="004620C5" w:rsidRPr="009F6E4B" w:rsidRDefault="004620C5" w:rsidP="00CB41C4">
      <w:pPr>
        <w:tabs>
          <w:tab w:val="left" w:leader="underscore" w:pos="9639"/>
        </w:tabs>
        <w:spacing w:after="0" w:line="240" w:lineRule="auto"/>
        <w:jc w:val="both"/>
        <w:rPr>
          <w:rFonts w:cs="Calibri"/>
          <w:b/>
          <w:sz w:val="20"/>
          <w:szCs w:val="20"/>
        </w:rPr>
      </w:pPr>
    </w:p>
    <w:p w14:paraId="2D21CE61" w14:textId="60BA512B"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Ejercicio fiscal (</w:t>
      </w:r>
      <w:r w:rsidR="00CB41C4" w:rsidRPr="009F6E4B">
        <w:rPr>
          <w:rFonts w:cs="Calibri"/>
          <w:b/>
          <w:sz w:val="20"/>
          <w:szCs w:val="20"/>
        </w:rPr>
        <w:t>mencionar,</w:t>
      </w:r>
      <w:r w:rsidRPr="009F6E4B">
        <w:rPr>
          <w:rFonts w:cs="Calibri"/>
          <w:b/>
          <w:sz w:val="20"/>
          <w:szCs w:val="20"/>
        </w:rPr>
        <w:t xml:space="preserve"> por ejemplo: enero a diciembre de 20</w:t>
      </w:r>
      <w:r w:rsidR="009C372B" w:rsidRPr="009F6E4B">
        <w:rPr>
          <w:rFonts w:cs="Calibri"/>
          <w:b/>
          <w:sz w:val="20"/>
          <w:szCs w:val="20"/>
        </w:rPr>
        <w:t>25</w:t>
      </w:r>
      <w:r w:rsidRPr="009F6E4B">
        <w:rPr>
          <w:rFonts w:cs="Calibri"/>
          <w:b/>
          <w:sz w:val="20"/>
          <w:szCs w:val="20"/>
        </w:rPr>
        <w:t>).</w:t>
      </w:r>
    </w:p>
    <w:p w14:paraId="31A56863" w14:textId="77777777" w:rsidR="00BA34B4" w:rsidRPr="009F6E4B" w:rsidRDefault="00BA34B4" w:rsidP="00CB41C4">
      <w:pPr>
        <w:tabs>
          <w:tab w:val="left" w:leader="underscore" w:pos="9639"/>
        </w:tabs>
        <w:spacing w:after="0" w:line="240" w:lineRule="auto"/>
        <w:jc w:val="both"/>
        <w:rPr>
          <w:rFonts w:cs="Calibri"/>
          <w:sz w:val="20"/>
          <w:szCs w:val="20"/>
        </w:rPr>
      </w:pPr>
    </w:p>
    <w:p w14:paraId="31A26DEA" w14:textId="3AFDEEDF" w:rsidR="00BA34B4" w:rsidRPr="006C61B4" w:rsidRDefault="00854ADF" w:rsidP="00CB41C4">
      <w:pPr>
        <w:tabs>
          <w:tab w:val="left" w:leader="underscore" w:pos="9639"/>
        </w:tabs>
        <w:spacing w:after="0" w:line="240" w:lineRule="auto"/>
        <w:jc w:val="both"/>
        <w:rPr>
          <w:rFonts w:cs="Calibri"/>
          <w:sz w:val="20"/>
          <w:szCs w:val="20"/>
        </w:rPr>
      </w:pPr>
      <w:r w:rsidRPr="009F6E4B">
        <w:rPr>
          <w:sz w:val="20"/>
          <w:szCs w:val="20"/>
        </w:rPr>
        <w:t xml:space="preserve">Del 1 de </w:t>
      </w:r>
      <w:r w:rsidR="006C61B4">
        <w:rPr>
          <w:sz w:val="20"/>
          <w:szCs w:val="20"/>
        </w:rPr>
        <w:t>enero al 31 de diciembre de 2026</w:t>
      </w:r>
      <w:r w:rsidR="00654F1D" w:rsidRPr="009F6E4B">
        <w:rPr>
          <w:rFonts w:cs="Calibri"/>
          <w:sz w:val="20"/>
          <w:szCs w:val="20"/>
        </w:rPr>
        <w:t>.</w:t>
      </w:r>
      <w:r w:rsidR="006C61B4">
        <w:rPr>
          <w:rFonts w:cs="Calibri"/>
          <w:sz w:val="20"/>
          <w:szCs w:val="20"/>
        </w:rPr>
        <w:t xml:space="preserve"> </w:t>
      </w:r>
      <w:r w:rsidR="006C61B4" w:rsidRPr="006C61B4">
        <w:rPr>
          <w:rFonts w:cs="Calibri"/>
          <w:sz w:val="20"/>
          <w:szCs w:val="20"/>
        </w:rPr>
        <w:t>S</w:t>
      </w:r>
      <w:r w:rsidR="006C61B4">
        <w:rPr>
          <w:rFonts w:cs="Calibri"/>
          <w:sz w:val="20"/>
          <w:szCs w:val="20"/>
        </w:rPr>
        <w:t>e informa al 31 de marzo de 2026.</w:t>
      </w:r>
    </w:p>
    <w:p w14:paraId="1D0B81C2" w14:textId="77777777" w:rsidR="00654F1D" w:rsidRPr="006C61B4" w:rsidRDefault="00654F1D" w:rsidP="00CB41C4">
      <w:pPr>
        <w:tabs>
          <w:tab w:val="left" w:leader="underscore" w:pos="9639"/>
        </w:tabs>
        <w:spacing w:after="0" w:line="240" w:lineRule="auto"/>
        <w:jc w:val="both"/>
        <w:rPr>
          <w:rFonts w:cs="Calibri"/>
          <w:sz w:val="20"/>
          <w:szCs w:val="20"/>
        </w:rPr>
      </w:pPr>
    </w:p>
    <w:p w14:paraId="6B13C93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Régimen jurídico (Forma como está dada de alta la entidad ante la S.H.C.P., ejemplos: S.C., S.A., Personas morales sin fines de lucro, etc.).</w:t>
      </w:r>
    </w:p>
    <w:p w14:paraId="7F1BD284" w14:textId="77777777" w:rsidR="00654F1D" w:rsidRPr="009F6E4B" w:rsidRDefault="00654F1D" w:rsidP="00CB41C4">
      <w:pPr>
        <w:tabs>
          <w:tab w:val="left" w:leader="underscore" w:pos="9639"/>
        </w:tabs>
        <w:spacing w:after="0" w:line="240" w:lineRule="auto"/>
        <w:jc w:val="both"/>
        <w:rPr>
          <w:rFonts w:cs="Calibri"/>
          <w:sz w:val="20"/>
          <w:szCs w:val="20"/>
        </w:rPr>
      </w:pPr>
    </w:p>
    <w:p w14:paraId="59DACB46" w14:textId="39B53178" w:rsidR="00654F1D" w:rsidRPr="009F6E4B" w:rsidRDefault="00654F1D" w:rsidP="00654F1D">
      <w:pPr>
        <w:spacing w:after="0"/>
        <w:jc w:val="both"/>
        <w:rPr>
          <w:rFonts w:cs="Calibri"/>
          <w:sz w:val="20"/>
          <w:szCs w:val="20"/>
        </w:rPr>
      </w:pPr>
      <w:r w:rsidRPr="009F6E4B">
        <w:rPr>
          <w:rFonts w:cs="Arial"/>
          <w:sz w:val="20"/>
          <w:szCs w:val="20"/>
        </w:rPr>
        <w:t>Persona moral con fines no lucrativos.</w:t>
      </w:r>
    </w:p>
    <w:p w14:paraId="684EFE58" w14:textId="77777777" w:rsidR="00654F1D" w:rsidRPr="009F6E4B" w:rsidRDefault="00654F1D" w:rsidP="00654F1D">
      <w:pPr>
        <w:tabs>
          <w:tab w:val="left" w:leader="underscore" w:pos="9639"/>
        </w:tabs>
        <w:spacing w:after="0" w:line="240" w:lineRule="auto"/>
        <w:jc w:val="both"/>
        <w:rPr>
          <w:rFonts w:cs="Calibri"/>
          <w:sz w:val="20"/>
          <w:szCs w:val="20"/>
        </w:rPr>
      </w:pPr>
    </w:p>
    <w:p w14:paraId="7A0F78D6" w14:textId="77777777" w:rsidR="00654F1D" w:rsidRPr="009F6E4B" w:rsidRDefault="007D1E76" w:rsidP="00654F1D">
      <w:pPr>
        <w:tabs>
          <w:tab w:val="left" w:leader="underscore" w:pos="9639"/>
        </w:tabs>
        <w:spacing w:after="0" w:line="240" w:lineRule="auto"/>
        <w:jc w:val="both"/>
        <w:rPr>
          <w:rFonts w:cs="Calibri"/>
          <w:b/>
          <w:sz w:val="20"/>
          <w:szCs w:val="20"/>
        </w:rPr>
      </w:pPr>
      <w:r w:rsidRPr="009F6E4B">
        <w:rPr>
          <w:rFonts w:cs="Calibri"/>
          <w:b/>
          <w:sz w:val="20"/>
          <w:szCs w:val="20"/>
        </w:rPr>
        <w:t xml:space="preserve">e) Consideraciones fiscales del ente: </w:t>
      </w:r>
      <w:r w:rsidR="00657009" w:rsidRPr="009F6E4B">
        <w:rPr>
          <w:rFonts w:cs="Calibri"/>
          <w:b/>
          <w:sz w:val="20"/>
          <w:szCs w:val="20"/>
        </w:rPr>
        <w:t>R</w:t>
      </w:r>
      <w:r w:rsidRPr="009F6E4B">
        <w:rPr>
          <w:rFonts w:cs="Calibri"/>
          <w:b/>
          <w:sz w:val="20"/>
          <w:szCs w:val="20"/>
        </w:rPr>
        <w:t>evelar el tipo de contribuciones que esté obligado a pagar o retener.</w:t>
      </w:r>
    </w:p>
    <w:p w14:paraId="3179C194" w14:textId="77777777" w:rsidR="00654F1D" w:rsidRPr="009F6E4B" w:rsidRDefault="00654F1D" w:rsidP="00654F1D">
      <w:pPr>
        <w:tabs>
          <w:tab w:val="left" w:leader="underscore" w:pos="9639"/>
        </w:tabs>
        <w:spacing w:after="0" w:line="240" w:lineRule="auto"/>
        <w:jc w:val="both"/>
        <w:rPr>
          <w:rFonts w:cs="Calibri"/>
          <w:sz w:val="20"/>
          <w:szCs w:val="20"/>
        </w:rPr>
      </w:pPr>
    </w:p>
    <w:p w14:paraId="38747194" w14:textId="77777777" w:rsidR="00654F1D" w:rsidRPr="009F6E4B" w:rsidRDefault="00654F1D" w:rsidP="004620C5">
      <w:pPr>
        <w:pStyle w:val="Prrafodelista"/>
        <w:numPr>
          <w:ilvl w:val="0"/>
          <w:numId w:val="7"/>
        </w:numPr>
        <w:jc w:val="both"/>
        <w:rPr>
          <w:sz w:val="20"/>
          <w:szCs w:val="20"/>
        </w:rPr>
      </w:pPr>
      <w:r w:rsidRPr="009F6E4B">
        <w:rPr>
          <w:sz w:val="20"/>
          <w:szCs w:val="20"/>
        </w:rPr>
        <w:t xml:space="preserve">Entero de retenciones mensuales de ISR por sueldos y salarios </w:t>
      </w:r>
    </w:p>
    <w:p w14:paraId="66361919" w14:textId="293D04A7" w:rsidR="00654F1D" w:rsidRPr="009F6E4B" w:rsidRDefault="00654F1D" w:rsidP="004620C5">
      <w:pPr>
        <w:pStyle w:val="Prrafodelista"/>
        <w:numPr>
          <w:ilvl w:val="0"/>
          <w:numId w:val="7"/>
        </w:numPr>
        <w:jc w:val="both"/>
        <w:rPr>
          <w:sz w:val="20"/>
          <w:szCs w:val="20"/>
        </w:rPr>
      </w:pPr>
      <w:r w:rsidRPr="009F6E4B">
        <w:rPr>
          <w:sz w:val="20"/>
          <w:szCs w:val="20"/>
        </w:rPr>
        <w:t>Entero de retención de ISR por servicios profesionales</w:t>
      </w:r>
    </w:p>
    <w:p w14:paraId="446DC839" w14:textId="77777777" w:rsidR="00654F1D" w:rsidRPr="009F6E4B" w:rsidRDefault="00654F1D" w:rsidP="004620C5">
      <w:pPr>
        <w:pStyle w:val="Prrafodelista"/>
        <w:numPr>
          <w:ilvl w:val="0"/>
          <w:numId w:val="7"/>
        </w:numPr>
        <w:jc w:val="both"/>
        <w:rPr>
          <w:sz w:val="20"/>
          <w:szCs w:val="20"/>
        </w:rPr>
      </w:pPr>
      <w:r w:rsidRPr="009F6E4B">
        <w:rPr>
          <w:sz w:val="20"/>
          <w:szCs w:val="20"/>
        </w:rPr>
        <w:t>Entero de retenciones mensuales de ISR por ingresos asimilados a salarios</w:t>
      </w:r>
    </w:p>
    <w:p w14:paraId="42A6FB03" w14:textId="7C195DC5" w:rsidR="00654F1D" w:rsidRPr="009F6E4B" w:rsidRDefault="00654F1D" w:rsidP="004620C5">
      <w:pPr>
        <w:pStyle w:val="Prrafodelista"/>
        <w:numPr>
          <w:ilvl w:val="0"/>
          <w:numId w:val="7"/>
        </w:numPr>
        <w:jc w:val="both"/>
        <w:rPr>
          <w:sz w:val="20"/>
          <w:szCs w:val="20"/>
        </w:rPr>
      </w:pPr>
      <w:r w:rsidRPr="009F6E4B">
        <w:rPr>
          <w:sz w:val="20"/>
          <w:szCs w:val="20"/>
        </w:rPr>
        <w:t>Entero mensual de retenciones de ISR de ingresos por arrendamiento</w:t>
      </w:r>
    </w:p>
    <w:p w14:paraId="1AF886CC" w14:textId="77777777" w:rsidR="00654F1D" w:rsidRPr="009F6E4B" w:rsidRDefault="00654F1D" w:rsidP="004620C5">
      <w:pPr>
        <w:pStyle w:val="Prrafodelista"/>
        <w:numPr>
          <w:ilvl w:val="0"/>
          <w:numId w:val="7"/>
        </w:numPr>
        <w:jc w:val="both"/>
        <w:rPr>
          <w:sz w:val="20"/>
          <w:szCs w:val="20"/>
        </w:rPr>
      </w:pPr>
      <w:r w:rsidRPr="009F6E4B">
        <w:rPr>
          <w:sz w:val="20"/>
          <w:szCs w:val="20"/>
        </w:rPr>
        <w:t>Declaración informativa anual de pagos y retenciones de servicios profesionales. Personas Morales. Impuesto Sobre la Renta</w:t>
      </w:r>
    </w:p>
    <w:p w14:paraId="39E4301B" w14:textId="66C290BA" w:rsidR="004620C5" w:rsidRPr="009F6E4B" w:rsidRDefault="00654F1D" w:rsidP="009F6E4B">
      <w:pPr>
        <w:pStyle w:val="Prrafodelista"/>
        <w:numPr>
          <w:ilvl w:val="0"/>
          <w:numId w:val="7"/>
        </w:numPr>
        <w:jc w:val="both"/>
        <w:rPr>
          <w:sz w:val="20"/>
          <w:szCs w:val="20"/>
        </w:rPr>
      </w:pPr>
      <w:r w:rsidRPr="009F6E4B">
        <w:rPr>
          <w:sz w:val="20"/>
          <w:szCs w:val="20"/>
        </w:rPr>
        <w:t>Declaración informativa anual de retenciones de ISR por arrendamiento de inmuebles</w:t>
      </w:r>
    </w:p>
    <w:p w14:paraId="3AF11D4A" w14:textId="77777777" w:rsidR="009E3E71" w:rsidRDefault="009E3E71" w:rsidP="00CB41C4">
      <w:pPr>
        <w:tabs>
          <w:tab w:val="left" w:leader="underscore" w:pos="9639"/>
        </w:tabs>
        <w:spacing w:after="0" w:line="240" w:lineRule="auto"/>
        <w:jc w:val="both"/>
        <w:rPr>
          <w:rFonts w:cs="Calibri"/>
          <w:b/>
          <w:sz w:val="20"/>
          <w:szCs w:val="20"/>
        </w:rPr>
      </w:pPr>
    </w:p>
    <w:p w14:paraId="51F42752" w14:textId="77777777" w:rsidR="00B91CAA" w:rsidRDefault="00B91CAA" w:rsidP="00CB41C4">
      <w:pPr>
        <w:tabs>
          <w:tab w:val="left" w:leader="underscore" w:pos="9639"/>
        </w:tabs>
        <w:spacing w:after="0" w:line="240" w:lineRule="auto"/>
        <w:jc w:val="both"/>
        <w:rPr>
          <w:rFonts w:cs="Calibri"/>
          <w:b/>
          <w:sz w:val="20"/>
          <w:szCs w:val="20"/>
        </w:rPr>
      </w:pPr>
    </w:p>
    <w:p w14:paraId="1E955453" w14:textId="77777777" w:rsidR="00B91CAA" w:rsidRDefault="00B91CAA" w:rsidP="00CB41C4">
      <w:pPr>
        <w:tabs>
          <w:tab w:val="left" w:leader="underscore" w:pos="9639"/>
        </w:tabs>
        <w:spacing w:after="0" w:line="240" w:lineRule="auto"/>
        <w:jc w:val="both"/>
        <w:rPr>
          <w:rFonts w:cs="Calibri"/>
          <w:b/>
          <w:sz w:val="20"/>
          <w:szCs w:val="20"/>
        </w:rPr>
      </w:pPr>
    </w:p>
    <w:p w14:paraId="61D0BE54" w14:textId="77777777" w:rsidR="00B91CAA" w:rsidRDefault="00B91CAA" w:rsidP="00CB41C4">
      <w:pPr>
        <w:tabs>
          <w:tab w:val="left" w:leader="underscore" w:pos="9639"/>
        </w:tabs>
        <w:spacing w:after="0" w:line="240" w:lineRule="auto"/>
        <w:jc w:val="both"/>
        <w:rPr>
          <w:rFonts w:cs="Calibri"/>
          <w:b/>
          <w:sz w:val="20"/>
          <w:szCs w:val="20"/>
        </w:rPr>
      </w:pPr>
    </w:p>
    <w:p w14:paraId="202295FA" w14:textId="77777777" w:rsidR="00B91CAA" w:rsidRDefault="00B91CAA" w:rsidP="00CB41C4">
      <w:pPr>
        <w:tabs>
          <w:tab w:val="left" w:leader="underscore" w:pos="9639"/>
        </w:tabs>
        <w:spacing w:after="0" w:line="240" w:lineRule="auto"/>
        <w:jc w:val="both"/>
        <w:rPr>
          <w:rFonts w:cs="Calibri"/>
          <w:b/>
          <w:sz w:val="20"/>
          <w:szCs w:val="20"/>
        </w:rPr>
      </w:pPr>
    </w:p>
    <w:p w14:paraId="69E05C27" w14:textId="77777777" w:rsidR="00B91CAA" w:rsidRDefault="00B91CAA" w:rsidP="00CB41C4">
      <w:pPr>
        <w:tabs>
          <w:tab w:val="left" w:leader="underscore" w:pos="9639"/>
        </w:tabs>
        <w:spacing w:after="0" w:line="240" w:lineRule="auto"/>
        <w:jc w:val="both"/>
        <w:rPr>
          <w:rFonts w:cs="Calibri"/>
          <w:b/>
          <w:sz w:val="20"/>
          <w:szCs w:val="20"/>
        </w:rPr>
      </w:pPr>
    </w:p>
    <w:p w14:paraId="5F3C372E" w14:textId="77777777" w:rsidR="00B91CAA" w:rsidRDefault="00B91CAA" w:rsidP="00CB41C4">
      <w:pPr>
        <w:tabs>
          <w:tab w:val="left" w:leader="underscore" w:pos="9639"/>
        </w:tabs>
        <w:spacing w:after="0" w:line="240" w:lineRule="auto"/>
        <w:jc w:val="both"/>
        <w:rPr>
          <w:rFonts w:cs="Calibri"/>
          <w:b/>
          <w:sz w:val="20"/>
          <w:szCs w:val="20"/>
        </w:rPr>
      </w:pPr>
    </w:p>
    <w:p w14:paraId="241DD8F2" w14:textId="77777777" w:rsidR="00B91CAA" w:rsidRDefault="00B91CAA" w:rsidP="00CB41C4">
      <w:pPr>
        <w:tabs>
          <w:tab w:val="left" w:leader="underscore" w:pos="9639"/>
        </w:tabs>
        <w:spacing w:after="0" w:line="240" w:lineRule="auto"/>
        <w:jc w:val="both"/>
        <w:rPr>
          <w:rFonts w:cs="Calibri"/>
          <w:b/>
          <w:sz w:val="20"/>
          <w:szCs w:val="20"/>
        </w:rPr>
      </w:pPr>
    </w:p>
    <w:p w14:paraId="281891B5" w14:textId="77777777" w:rsidR="00B91CAA" w:rsidRDefault="00B91CAA" w:rsidP="00CB41C4">
      <w:pPr>
        <w:tabs>
          <w:tab w:val="left" w:leader="underscore" w:pos="9639"/>
        </w:tabs>
        <w:spacing w:after="0" w:line="240" w:lineRule="auto"/>
        <w:jc w:val="both"/>
        <w:rPr>
          <w:rFonts w:cs="Calibri"/>
          <w:b/>
          <w:sz w:val="20"/>
          <w:szCs w:val="20"/>
        </w:rPr>
      </w:pPr>
    </w:p>
    <w:p w14:paraId="519AA5C5" w14:textId="77777777" w:rsidR="00B91CAA" w:rsidRDefault="00B91CAA" w:rsidP="00CB41C4">
      <w:pPr>
        <w:tabs>
          <w:tab w:val="left" w:leader="underscore" w:pos="9639"/>
        </w:tabs>
        <w:spacing w:after="0" w:line="240" w:lineRule="auto"/>
        <w:jc w:val="both"/>
        <w:rPr>
          <w:rFonts w:cs="Calibri"/>
          <w:b/>
          <w:sz w:val="20"/>
          <w:szCs w:val="20"/>
        </w:rPr>
      </w:pPr>
    </w:p>
    <w:p w14:paraId="34D64850" w14:textId="77777777" w:rsidR="00B91CAA" w:rsidRDefault="00B91CAA" w:rsidP="00CB41C4">
      <w:pPr>
        <w:tabs>
          <w:tab w:val="left" w:leader="underscore" w:pos="9639"/>
        </w:tabs>
        <w:spacing w:after="0" w:line="240" w:lineRule="auto"/>
        <w:jc w:val="both"/>
        <w:rPr>
          <w:rFonts w:cs="Calibri"/>
          <w:b/>
          <w:sz w:val="20"/>
          <w:szCs w:val="20"/>
        </w:rPr>
      </w:pPr>
    </w:p>
    <w:p w14:paraId="1BA1056C" w14:textId="77777777" w:rsidR="00B91CAA" w:rsidRDefault="00B91CAA" w:rsidP="00CB41C4">
      <w:pPr>
        <w:tabs>
          <w:tab w:val="left" w:leader="underscore" w:pos="9639"/>
        </w:tabs>
        <w:spacing w:after="0" w:line="240" w:lineRule="auto"/>
        <w:jc w:val="both"/>
        <w:rPr>
          <w:rFonts w:cs="Calibri"/>
          <w:b/>
          <w:sz w:val="20"/>
          <w:szCs w:val="20"/>
        </w:rPr>
      </w:pPr>
    </w:p>
    <w:p w14:paraId="6EB77A6D" w14:textId="76BEF0C5"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lastRenderedPageBreak/>
        <w:t>f) Estructura organizacional básica.</w:t>
      </w:r>
    </w:p>
    <w:p w14:paraId="052DDB11" w14:textId="4B4231E5" w:rsidR="00EC077C" w:rsidRPr="009F6E4B" w:rsidRDefault="007D1E76" w:rsidP="000722D8">
      <w:pPr>
        <w:tabs>
          <w:tab w:val="left" w:leader="underscore" w:pos="9639"/>
        </w:tabs>
        <w:spacing w:after="0" w:line="240" w:lineRule="auto"/>
        <w:ind w:firstLine="708"/>
        <w:jc w:val="both"/>
        <w:rPr>
          <w:rFonts w:cs="Calibri"/>
          <w:sz w:val="20"/>
          <w:szCs w:val="20"/>
        </w:rPr>
      </w:pPr>
      <w:r w:rsidRPr="009F6E4B">
        <w:rPr>
          <w:rFonts w:cs="Calibri"/>
          <w:sz w:val="20"/>
          <w:szCs w:val="20"/>
        </w:rPr>
        <w:t>*Anexar organigrama de la entidad.</w:t>
      </w:r>
    </w:p>
    <w:p w14:paraId="2FEC7B12" w14:textId="7552DAD1" w:rsidR="00EC077C" w:rsidRDefault="004620C5" w:rsidP="00A65256">
      <w:pPr>
        <w:tabs>
          <w:tab w:val="left" w:leader="underscore" w:pos="9639"/>
        </w:tabs>
        <w:spacing w:after="0" w:line="240" w:lineRule="auto"/>
        <w:ind w:firstLine="708"/>
        <w:jc w:val="center"/>
        <w:rPr>
          <w:rFonts w:cs="Calibri"/>
          <w:b/>
          <w:bCs/>
          <w:sz w:val="20"/>
          <w:szCs w:val="20"/>
        </w:rPr>
      </w:pPr>
      <w:r w:rsidRPr="009F6E4B">
        <w:rPr>
          <w:rFonts w:cs="Calibri"/>
          <w:b/>
          <w:bCs/>
          <w:sz w:val="20"/>
          <w:szCs w:val="20"/>
        </w:rPr>
        <w:t>(Administración 2024-2027)</w:t>
      </w:r>
    </w:p>
    <w:p w14:paraId="3C856FAF" w14:textId="77777777" w:rsidR="00F461EB" w:rsidRDefault="00F461EB" w:rsidP="00A65256">
      <w:pPr>
        <w:tabs>
          <w:tab w:val="left" w:leader="underscore" w:pos="9639"/>
        </w:tabs>
        <w:spacing w:after="0" w:line="240" w:lineRule="auto"/>
        <w:ind w:firstLine="708"/>
        <w:jc w:val="center"/>
        <w:rPr>
          <w:rFonts w:cs="Calibri"/>
          <w:b/>
          <w:bCs/>
          <w:sz w:val="20"/>
          <w:szCs w:val="20"/>
        </w:rPr>
      </w:pPr>
    </w:p>
    <w:p w14:paraId="3BBB1BFE" w14:textId="18D4E8A8" w:rsidR="000E25FC" w:rsidRPr="009F6E4B" w:rsidRDefault="006C61B4" w:rsidP="006C61B4">
      <w:pPr>
        <w:tabs>
          <w:tab w:val="left" w:leader="underscore" w:pos="9639"/>
        </w:tabs>
        <w:spacing w:after="0" w:line="240" w:lineRule="auto"/>
        <w:jc w:val="both"/>
        <w:rPr>
          <w:rFonts w:cs="Calibri"/>
          <w:b/>
          <w:bCs/>
          <w:sz w:val="20"/>
          <w:szCs w:val="20"/>
        </w:rPr>
      </w:pPr>
      <w:r w:rsidRPr="006C61B4">
        <w:rPr>
          <w:rFonts w:cs="Calibri"/>
          <w:b/>
          <w:bCs/>
          <w:noProof/>
          <w:sz w:val="20"/>
          <w:szCs w:val="20"/>
          <w:lang w:eastAsia="es-MX"/>
        </w:rPr>
        <w:drawing>
          <wp:inline distT="0" distB="0" distL="0" distR="0" wp14:anchorId="3AEE22AA" wp14:editId="0B4E100D">
            <wp:extent cx="6151880" cy="3762375"/>
            <wp:effectExtent l="0" t="0" r="127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51880" cy="3762375"/>
                    </a:xfrm>
                    <a:prstGeom prst="rect">
                      <a:avLst/>
                    </a:prstGeom>
                  </pic:spPr>
                </pic:pic>
              </a:graphicData>
            </a:graphic>
          </wp:inline>
        </w:drawing>
      </w:r>
    </w:p>
    <w:p w14:paraId="0874F162" w14:textId="77777777" w:rsidR="0043484C" w:rsidRPr="009F6E4B" w:rsidRDefault="0043484C" w:rsidP="00EC077C">
      <w:pPr>
        <w:tabs>
          <w:tab w:val="left" w:leader="underscore" w:pos="9639"/>
        </w:tabs>
        <w:spacing w:after="0" w:line="240" w:lineRule="auto"/>
        <w:jc w:val="center"/>
        <w:rPr>
          <w:rFonts w:cs="Calibri"/>
          <w:b/>
          <w:bCs/>
          <w:sz w:val="20"/>
          <w:szCs w:val="20"/>
        </w:rPr>
      </w:pPr>
    </w:p>
    <w:p w14:paraId="390FC876" w14:textId="7CF1F1D6" w:rsidR="0043484C" w:rsidRPr="009F6E4B" w:rsidRDefault="0043484C" w:rsidP="00EC077C">
      <w:pPr>
        <w:tabs>
          <w:tab w:val="left" w:leader="underscore" w:pos="9639"/>
        </w:tabs>
        <w:spacing w:after="0" w:line="240" w:lineRule="auto"/>
        <w:jc w:val="center"/>
        <w:rPr>
          <w:rFonts w:cs="Calibri"/>
          <w:b/>
          <w:bCs/>
          <w:sz w:val="20"/>
          <w:szCs w:val="20"/>
        </w:rPr>
      </w:pPr>
    </w:p>
    <w:p w14:paraId="3B91A393" w14:textId="77777777" w:rsidR="00EC077C" w:rsidRPr="009F6E4B" w:rsidRDefault="00EC077C" w:rsidP="00EC077C">
      <w:pPr>
        <w:tabs>
          <w:tab w:val="left" w:leader="underscore" w:pos="9639"/>
        </w:tabs>
        <w:spacing w:after="0" w:line="240" w:lineRule="auto"/>
        <w:jc w:val="center"/>
        <w:rPr>
          <w:rFonts w:cs="Calibri"/>
          <w:b/>
          <w:bCs/>
          <w:sz w:val="20"/>
          <w:szCs w:val="20"/>
        </w:rPr>
      </w:pPr>
    </w:p>
    <w:p w14:paraId="19CEE146" w14:textId="0080C658"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g) </w:t>
      </w:r>
      <w:r w:rsidR="00396D53" w:rsidRPr="009F6E4B">
        <w:rPr>
          <w:rFonts w:cs="Calibri"/>
          <w:b/>
          <w:sz w:val="20"/>
          <w:szCs w:val="20"/>
        </w:rPr>
        <w:t>Fideicomisos de los cuales es fideicomitente o fideicomisario, y contratos análogos, incluyendo mandatos de los cuales es parte.</w:t>
      </w:r>
    </w:p>
    <w:p w14:paraId="6B9C3B7B" w14:textId="77777777" w:rsidR="007E3F3E" w:rsidRPr="009F6E4B" w:rsidRDefault="007E3F3E" w:rsidP="00CB41C4">
      <w:pPr>
        <w:tabs>
          <w:tab w:val="left" w:leader="underscore" w:pos="9639"/>
        </w:tabs>
        <w:spacing w:after="0" w:line="240" w:lineRule="auto"/>
        <w:jc w:val="both"/>
        <w:rPr>
          <w:rFonts w:cs="Calibri"/>
          <w:sz w:val="20"/>
          <w:szCs w:val="20"/>
        </w:rPr>
      </w:pPr>
    </w:p>
    <w:p w14:paraId="7A1B9FBA" w14:textId="77777777" w:rsidR="007E3F3E" w:rsidRPr="009F6E4B" w:rsidRDefault="007E3F3E" w:rsidP="007E3F3E">
      <w:pPr>
        <w:tabs>
          <w:tab w:val="left" w:leader="underscore" w:pos="9639"/>
        </w:tabs>
        <w:spacing w:after="0" w:line="240" w:lineRule="auto"/>
        <w:jc w:val="both"/>
        <w:rPr>
          <w:rFonts w:cs="Calibri"/>
          <w:sz w:val="20"/>
          <w:szCs w:val="20"/>
        </w:rPr>
      </w:pPr>
      <w:r w:rsidRPr="009F6E4B">
        <w:rPr>
          <w:rFonts w:cs="Calibri"/>
          <w:sz w:val="20"/>
          <w:szCs w:val="20"/>
        </w:rPr>
        <w:t>Al periodo que se informa, el Municipio de Guanajuato no cuenta con fideicomisos, mandatos y análogos.</w:t>
      </w:r>
    </w:p>
    <w:p w14:paraId="4580F7E1" w14:textId="77777777" w:rsidR="000722D8" w:rsidRPr="009F6E4B" w:rsidRDefault="000722D8" w:rsidP="00CB41C4">
      <w:pPr>
        <w:tabs>
          <w:tab w:val="left" w:leader="underscore" w:pos="9639"/>
        </w:tabs>
        <w:spacing w:after="0" w:line="240" w:lineRule="auto"/>
        <w:jc w:val="both"/>
        <w:rPr>
          <w:rFonts w:cs="Calibri"/>
          <w:sz w:val="20"/>
          <w:szCs w:val="20"/>
        </w:rPr>
      </w:pPr>
    </w:p>
    <w:p w14:paraId="12E280BB" w14:textId="61B6566F" w:rsidR="007D1E76" w:rsidRPr="009F6E4B" w:rsidRDefault="006F77A8" w:rsidP="000C3365">
      <w:pPr>
        <w:pStyle w:val="Ttulo2"/>
        <w:rPr>
          <w:rFonts w:asciiTheme="minorHAnsi" w:hAnsiTheme="minorHAnsi" w:cstheme="minorHAnsi"/>
          <w:b/>
          <w:color w:val="auto"/>
          <w:sz w:val="20"/>
          <w:szCs w:val="20"/>
        </w:rPr>
      </w:pPr>
      <w:bookmarkStart w:id="5" w:name="_Toc227665761"/>
      <w:r w:rsidRPr="009F6E4B">
        <w:rPr>
          <w:rFonts w:asciiTheme="minorHAnsi" w:hAnsiTheme="minorHAnsi" w:cstheme="minorHAnsi"/>
          <w:b/>
          <w:color w:val="auto"/>
          <w:sz w:val="20"/>
          <w:szCs w:val="20"/>
        </w:rPr>
        <w:t>4</w:t>
      </w:r>
      <w:r w:rsidR="007D1E76" w:rsidRPr="009F6E4B">
        <w:rPr>
          <w:rFonts w:asciiTheme="minorHAnsi" w:hAnsiTheme="minorHAnsi" w:cstheme="minorHAnsi"/>
          <w:b/>
          <w:color w:val="auto"/>
          <w:sz w:val="20"/>
          <w:szCs w:val="20"/>
        </w:rPr>
        <w:t>. Bases de Preparació</w:t>
      </w:r>
      <w:r w:rsidR="00E00323" w:rsidRPr="009F6E4B">
        <w:rPr>
          <w:rFonts w:asciiTheme="minorHAnsi" w:hAnsiTheme="minorHAnsi" w:cstheme="minorHAnsi"/>
          <w:b/>
          <w:color w:val="auto"/>
          <w:sz w:val="20"/>
          <w:szCs w:val="20"/>
        </w:rPr>
        <w:t>n de los Estados Financieros:</w:t>
      </w:r>
      <w:bookmarkEnd w:id="5"/>
    </w:p>
    <w:p w14:paraId="16713285"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0FABCEB8" w14:textId="77777777" w:rsidR="007D1E76" w:rsidRPr="009F6E4B" w:rsidRDefault="007D1E76" w:rsidP="00CB41C4">
      <w:pPr>
        <w:tabs>
          <w:tab w:val="left" w:leader="underscore" w:pos="9639"/>
        </w:tabs>
        <w:spacing w:after="0" w:line="240" w:lineRule="auto"/>
        <w:jc w:val="both"/>
        <w:rPr>
          <w:rFonts w:cs="Calibri"/>
          <w:sz w:val="20"/>
          <w:szCs w:val="20"/>
        </w:rPr>
      </w:pPr>
    </w:p>
    <w:p w14:paraId="4D261760"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Si se ha observado la normatividad emitida por el CONAC y las disposiciones legales aplicables.</w:t>
      </w:r>
    </w:p>
    <w:p w14:paraId="5E407C7D" w14:textId="77777777" w:rsidR="007E3F3E" w:rsidRPr="009F6E4B" w:rsidRDefault="007E3F3E" w:rsidP="007E3F3E">
      <w:pPr>
        <w:spacing w:after="0"/>
        <w:jc w:val="both"/>
        <w:rPr>
          <w:rFonts w:cs="Arial"/>
          <w:sz w:val="20"/>
          <w:szCs w:val="20"/>
        </w:rPr>
      </w:pPr>
    </w:p>
    <w:p w14:paraId="6CE31243" w14:textId="7A2B366F" w:rsidR="007E3F3E" w:rsidRPr="009F6E4B" w:rsidRDefault="007E3F3E" w:rsidP="007E3F3E">
      <w:pPr>
        <w:spacing w:after="0"/>
        <w:jc w:val="both"/>
        <w:rPr>
          <w:rFonts w:cs="Arial"/>
          <w:sz w:val="20"/>
          <w:szCs w:val="20"/>
        </w:rPr>
      </w:pPr>
      <w:r w:rsidRPr="009F6E4B">
        <w:rPr>
          <w:rFonts w:cs="Arial"/>
          <w:sz w:val="20"/>
          <w:szCs w:val="20"/>
        </w:rPr>
        <w:t>El municipio ha observado el cumplimiento de las disposiciones legales emiti</w:t>
      </w:r>
      <w:r w:rsidR="000722D8" w:rsidRPr="009F6E4B">
        <w:rPr>
          <w:rFonts w:cs="Arial"/>
          <w:sz w:val="20"/>
          <w:szCs w:val="20"/>
        </w:rPr>
        <w:t xml:space="preserve">das por el CONAC, con el objeto </w:t>
      </w:r>
      <w:r w:rsidRPr="009F6E4B">
        <w:rPr>
          <w:rFonts w:cs="Arial"/>
          <w:sz w:val="20"/>
          <w:szCs w:val="20"/>
        </w:rPr>
        <w:t>de lograr la armonización contable acorde a la Ley General de Contabilidad Gubernamental.</w:t>
      </w:r>
    </w:p>
    <w:p w14:paraId="58B00679" w14:textId="77777777" w:rsidR="007D1E76" w:rsidRPr="009F6E4B" w:rsidRDefault="007D1E76" w:rsidP="00CB41C4">
      <w:pPr>
        <w:tabs>
          <w:tab w:val="left" w:leader="underscore" w:pos="9639"/>
        </w:tabs>
        <w:spacing w:after="0" w:line="240" w:lineRule="auto"/>
        <w:jc w:val="both"/>
        <w:rPr>
          <w:rFonts w:cs="Calibri"/>
          <w:sz w:val="20"/>
          <w:szCs w:val="20"/>
        </w:rPr>
      </w:pPr>
    </w:p>
    <w:p w14:paraId="73F52BD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F4A2B3D" w14:textId="77777777" w:rsidR="007E3F3E" w:rsidRPr="009F6E4B" w:rsidRDefault="007E3F3E" w:rsidP="007E3F3E">
      <w:pPr>
        <w:spacing w:after="0"/>
        <w:jc w:val="both"/>
        <w:rPr>
          <w:rFonts w:cs="Arial"/>
          <w:sz w:val="20"/>
          <w:szCs w:val="20"/>
        </w:rPr>
      </w:pPr>
    </w:p>
    <w:p w14:paraId="4DE9FD28" w14:textId="77777777" w:rsidR="007E3F3E" w:rsidRPr="009F6E4B" w:rsidRDefault="007E3F3E" w:rsidP="007E3F3E">
      <w:pPr>
        <w:spacing w:after="0"/>
        <w:jc w:val="both"/>
        <w:rPr>
          <w:rFonts w:cs="Arial"/>
          <w:sz w:val="20"/>
          <w:szCs w:val="20"/>
        </w:rPr>
      </w:pPr>
      <w:r w:rsidRPr="009F6E4B">
        <w:rPr>
          <w:rFonts w:cs="Arial"/>
          <w:sz w:val="20"/>
          <w:szCs w:val="20"/>
        </w:rPr>
        <w:t>La normatividad aplicada para el reconocimiento, valuación y revelación de los diferentes rubros de la información financiera y las bases de medición utilizadas para la elaboración de los estados financieros se encuentra alineada de acuerdo a las normas emitidas por el CONAC.</w:t>
      </w:r>
    </w:p>
    <w:p w14:paraId="7325CB45" w14:textId="77777777" w:rsidR="006A65AB" w:rsidRPr="009F6E4B" w:rsidRDefault="006A65AB" w:rsidP="007E3F3E">
      <w:pPr>
        <w:spacing w:after="0"/>
        <w:jc w:val="both"/>
        <w:rPr>
          <w:rFonts w:cs="Arial"/>
          <w:sz w:val="20"/>
          <w:szCs w:val="20"/>
        </w:rPr>
      </w:pPr>
    </w:p>
    <w:p w14:paraId="24A1D3E1" w14:textId="77777777" w:rsidR="007E3F3E" w:rsidRPr="009F6E4B" w:rsidRDefault="007E3F3E" w:rsidP="007E3F3E">
      <w:pPr>
        <w:spacing w:after="0"/>
        <w:jc w:val="both"/>
        <w:rPr>
          <w:rFonts w:cs="Arial"/>
          <w:sz w:val="20"/>
          <w:szCs w:val="20"/>
        </w:rPr>
      </w:pPr>
      <w:r w:rsidRPr="009F6E4B">
        <w:rPr>
          <w:rFonts w:cs="Arial"/>
          <w:sz w:val="20"/>
          <w:szCs w:val="20"/>
        </w:rPr>
        <w:t>Las bases que se tomaron para la preparación de los estados financieros del presente periodo, fueron conforme a la Normatividad emitida a la fecha por el Consejo Nacional de Armonización Contable, Constitución Política para el Estado de Guanajuato, Ley de Fiscalización Superior del Estado de Guanajuato, Ley General de Contabilidad Gubernamental, Ley Orgánica Municipal para el Estado de Guanajuato, Ley de Responsabilidades Administrativas para el Estado de Guanajuato.</w:t>
      </w:r>
    </w:p>
    <w:p w14:paraId="2DCF252C" w14:textId="77777777" w:rsidR="007D1E76" w:rsidRPr="009F6E4B" w:rsidRDefault="007D1E76" w:rsidP="00CB41C4">
      <w:pPr>
        <w:tabs>
          <w:tab w:val="left" w:leader="underscore" w:pos="9639"/>
        </w:tabs>
        <w:spacing w:after="0" w:line="240" w:lineRule="auto"/>
        <w:jc w:val="both"/>
        <w:rPr>
          <w:rFonts w:cs="Calibri"/>
          <w:sz w:val="20"/>
          <w:szCs w:val="20"/>
        </w:rPr>
      </w:pPr>
    </w:p>
    <w:p w14:paraId="7ED1C1ED" w14:textId="784B4DD1"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c) </w:t>
      </w:r>
      <w:r w:rsidR="00A6346D" w:rsidRPr="009F6E4B">
        <w:rPr>
          <w:rFonts w:cs="Calibri"/>
          <w:b/>
          <w:sz w:val="20"/>
          <w:szCs w:val="20"/>
        </w:rPr>
        <w:t>Postulados básicos de Contabilidad Gubernamental (PBCG)</w:t>
      </w:r>
      <w:r w:rsidRPr="009F6E4B">
        <w:rPr>
          <w:rFonts w:cs="Calibri"/>
          <w:b/>
          <w:sz w:val="20"/>
          <w:szCs w:val="20"/>
        </w:rPr>
        <w:t>.</w:t>
      </w:r>
    </w:p>
    <w:p w14:paraId="45C03266" w14:textId="77777777" w:rsidR="007E3F3E" w:rsidRPr="009F6E4B" w:rsidRDefault="007E3F3E" w:rsidP="007E3F3E">
      <w:pPr>
        <w:spacing w:after="0"/>
        <w:jc w:val="both"/>
        <w:rPr>
          <w:rFonts w:cs="Arial"/>
          <w:sz w:val="20"/>
          <w:szCs w:val="20"/>
        </w:rPr>
      </w:pPr>
    </w:p>
    <w:p w14:paraId="70569C89" w14:textId="77777777" w:rsidR="007E3F3E" w:rsidRPr="009F6E4B" w:rsidRDefault="007E3F3E" w:rsidP="007E3F3E">
      <w:pPr>
        <w:spacing w:after="0"/>
        <w:jc w:val="both"/>
        <w:rPr>
          <w:rFonts w:cs="Arial"/>
          <w:sz w:val="20"/>
          <w:szCs w:val="20"/>
        </w:rPr>
      </w:pPr>
      <w:r w:rsidRPr="009F6E4B">
        <w:rPr>
          <w:rFonts w:cs="Arial"/>
          <w:sz w:val="20"/>
          <w:szCs w:val="20"/>
        </w:rPr>
        <w:t>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CC2D59E" w14:textId="77777777" w:rsidR="007D1E76" w:rsidRPr="009F6E4B" w:rsidRDefault="007D1E76" w:rsidP="00CB41C4">
      <w:pPr>
        <w:tabs>
          <w:tab w:val="left" w:leader="underscore" w:pos="9639"/>
        </w:tabs>
        <w:spacing w:after="0" w:line="240" w:lineRule="auto"/>
        <w:jc w:val="both"/>
        <w:rPr>
          <w:rFonts w:cs="Calibri"/>
          <w:sz w:val="20"/>
          <w:szCs w:val="20"/>
        </w:rPr>
      </w:pPr>
    </w:p>
    <w:p w14:paraId="7989D893" w14:textId="6A08B59B"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 xml:space="preserve">d)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9F6E4B">
        <w:rPr>
          <w:rFonts w:cs="Calibri"/>
          <w:b/>
          <w:sz w:val="20"/>
          <w:szCs w:val="20"/>
        </w:rPr>
        <w:t>Marco Conceptual de Contabilidad Gubernamental (MCCG) y sus modificaciones</w:t>
      </w:r>
      <w:r w:rsidR="0043078C" w:rsidRPr="009F6E4B">
        <w:rPr>
          <w:rFonts w:cs="Calibri"/>
          <w:sz w:val="20"/>
          <w:szCs w:val="20"/>
        </w:rPr>
        <w:t>.</w:t>
      </w:r>
    </w:p>
    <w:p w14:paraId="1C1FF429" w14:textId="77777777" w:rsidR="007E3F3E" w:rsidRPr="009F6E4B" w:rsidRDefault="007E3F3E" w:rsidP="007E3F3E">
      <w:pPr>
        <w:spacing w:after="0"/>
        <w:jc w:val="both"/>
        <w:rPr>
          <w:rFonts w:cs="Arial"/>
          <w:sz w:val="20"/>
          <w:szCs w:val="20"/>
        </w:rPr>
      </w:pPr>
    </w:p>
    <w:p w14:paraId="10E68E48" w14:textId="117F8714" w:rsidR="007E3F3E" w:rsidRPr="009F6E4B" w:rsidRDefault="007E3F3E" w:rsidP="00E16610">
      <w:pPr>
        <w:spacing w:after="0"/>
        <w:jc w:val="both"/>
        <w:rPr>
          <w:rFonts w:cs="Arial"/>
          <w:sz w:val="20"/>
          <w:szCs w:val="20"/>
        </w:rPr>
      </w:pPr>
      <w:r w:rsidRPr="009F6E4B">
        <w:rPr>
          <w:rFonts w:cs="Arial"/>
          <w:sz w:val="20"/>
          <w:szCs w:val="20"/>
        </w:rPr>
        <w:t>A la fecha no se aplica normatividad supletoria. La base del devengado conforme a la Ley de Contabilidad Gubernamental, se empezó a aplicar en el año 2010.</w:t>
      </w:r>
    </w:p>
    <w:p w14:paraId="77ED1B46" w14:textId="77777777" w:rsidR="007E3F3E" w:rsidRPr="009F6E4B" w:rsidRDefault="007E3F3E" w:rsidP="00CB41C4">
      <w:pPr>
        <w:tabs>
          <w:tab w:val="left" w:leader="underscore" w:pos="9639"/>
        </w:tabs>
        <w:spacing w:after="0" w:line="240" w:lineRule="auto"/>
        <w:jc w:val="both"/>
        <w:rPr>
          <w:rFonts w:cs="Calibri"/>
          <w:b/>
          <w:sz w:val="20"/>
          <w:szCs w:val="20"/>
        </w:rPr>
      </w:pPr>
    </w:p>
    <w:p w14:paraId="084AD24A" w14:textId="4A679E5F"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e) Para las entidades que por primera vez estén implementando la base </w:t>
      </w:r>
      <w:r w:rsidR="0086420E" w:rsidRPr="009F6E4B">
        <w:rPr>
          <w:rFonts w:cs="Calibri"/>
          <w:b/>
          <w:sz w:val="20"/>
          <w:szCs w:val="20"/>
        </w:rPr>
        <w:t xml:space="preserve">de </w:t>
      </w:r>
      <w:r w:rsidRPr="009F6E4B">
        <w:rPr>
          <w:rFonts w:cs="Calibri"/>
          <w:b/>
          <w:sz w:val="20"/>
          <w:szCs w:val="20"/>
        </w:rPr>
        <w:t>devengado de acuerdo a la Ley de Contabilidad, deberán:</w:t>
      </w:r>
    </w:p>
    <w:p w14:paraId="39720946" w14:textId="77777777" w:rsidR="007D1E76" w:rsidRPr="009F6E4B" w:rsidRDefault="007D1E76" w:rsidP="00CB41C4">
      <w:pPr>
        <w:tabs>
          <w:tab w:val="left" w:leader="underscore" w:pos="9639"/>
        </w:tabs>
        <w:spacing w:after="0" w:line="240" w:lineRule="auto"/>
        <w:jc w:val="both"/>
        <w:rPr>
          <w:rFonts w:cs="Calibri"/>
          <w:sz w:val="20"/>
          <w:szCs w:val="20"/>
        </w:rPr>
      </w:pPr>
    </w:p>
    <w:p w14:paraId="66DA893A"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*Revelar las nuevas políticas de reconocimiento:</w:t>
      </w:r>
    </w:p>
    <w:p w14:paraId="39696E5E" w14:textId="77777777" w:rsidR="006A65AB" w:rsidRPr="009F6E4B" w:rsidRDefault="006A65AB" w:rsidP="007E3F3E">
      <w:pPr>
        <w:spacing w:after="0"/>
        <w:jc w:val="both"/>
        <w:rPr>
          <w:rFonts w:eastAsia="Times New Roman" w:cs="Arial"/>
          <w:sz w:val="20"/>
          <w:szCs w:val="20"/>
        </w:rPr>
      </w:pPr>
    </w:p>
    <w:p w14:paraId="4663C1EB" w14:textId="698549B4" w:rsidR="007E3F3E" w:rsidRPr="009F6E4B" w:rsidRDefault="007E3F3E" w:rsidP="007E3F3E">
      <w:pPr>
        <w:spacing w:after="0"/>
        <w:jc w:val="both"/>
        <w:rPr>
          <w:rFonts w:cs="Calibri"/>
          <w:b/>
          <w:sz w:val="20"/>
          <w:szCs w:val="20"/>
        </w:rPr>
      </w:pPr>
      <w:r w:rsidRPr="009F6E4B">
        <w:rPr>
          <w:rFonts w:eastAsia="Times New Roman" w:cs="Arial"/>
          <w:sz w:val="20"/>
          <w:szCs w:val="20"/>
        </w:rPr>
        <w:lastRenderedPageBreak/>
        <w:t xml:space="preserve">Esta nota no le aplica a este municipio. </w:t>
      </w:r>
      <w:r w:rsidRPr="009F6E4B">
        <w:rPr>
          <w:rFonts w:cs="Arial"/>
          <w:sz w:val="20"/>
          <w:szCs w:val="20"/>
        </w:rPr>
        <w:t>La base del devengado conforme a la Ley de Contabilidad Gubernamental, se empezó a aplicar en el año 2010.</w:t>
      </w:r>
    </w:p>
    <w:p w14:paraId="75AC3EA1" w14:textId="77777777" w:rsidR="007D1E76" w:rsidRPr="009F6E4B" w:rsidRDefault="007D1E76" w:rsidP="00CB41C4">
      <w:pPr>
        <w:tabs>
          <w:tab w:val="left" w:leader="underscore" w:pos="9639"/>
        </w:tabs>
        <w:spacing w:after="0" w:line="240" w:lineRule="auto"/>
        <w:jc w:val="both"/>
        <w:rPr>
          <w:rFonts w:cs="Calibri"/>
          <w:sz w:val="20"/>
          <w:szCs w:val="20"/>
        </w:rPr>
      </w:pPr>
    </w:p>
    <w:p w14:paraId="6BEBABB5" w14:textId="77777777" w:rsidR="007D1E76" w:rsidRPr="009F6E4B" w:rsidRDefault="007D1E76" w:rsidP="00CB41C4">
      <w:pPr>
        <w:tabs>
          <w:tab w:val="left" w:leader="underscore" w:pos="9639"/>
        </w:tabs>
        <w:spacing w:after="0" w:line="240" w:lineRule="auto"/>
        <w:jc w:val="both"/>
        <w:rPr>
          <w:rFonts w:cs="Calibri"/>
          <w:b/>
          <w:bCs/>
          <w:sz w:val="20"/>
          <w:szCs w:val="20"/>
        </w:rPr>
      </w:pPr>
      <w:r w:rsidRPr="009F6E4B">
        <w:rPr>
          <w:rFonts w:cs="Calibri"/>
          <w:b/>
          <w:bCs/>
          <w:sz w:val="20"/>
          <w:szCs w:val="20"/>
        </w:rPr>
        <w:t>*Plan de implementación:</w:t>
      </w:r>
    </w:p>
    <w:p w14:paraId="4B273D75" w14:textId="72F717BD" w:rsidR="007D1E76" w:rsidRPr="009F6E4B" w:rsidRDefault="007D1E76" w:rsidP="00CB41C4">
      <w:pPr>
        <w:tabs>
          <w:tab w:val="left" w:leader="underscore" w:pos="9639"/>
        </w:tabs>
        <w:spacing w:after="0" w:line="240" w:lineRule="auto"/>
        <w:jc w:val="both"/>
        <w:rPr>
          <w:rFonts w:cs="Calibri"/>
          <w:sz w:val="20"/>
          <w:szCs w:val="20"/>
        </w:rPr>
      </w:pPr>
    </w:p>
    <w:p w14:paraId="0C56ACE4" w14:textId="7394978E"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3B6D9156" w14:textId="77777777" w:rsidR="007D1E76" w:rsidRPr="009F6E4B" w:rsidRDefault="007D1E76" w:rsidP="00CB41C4">
      <w:pPr>
        <w:tabs>
          <w:tab w:val="left" w:leader="underscore" w:pos="9639"/>
        </w:tabs>
        <w:spacing w:after="0" w:line="240" w:lineRule="auto"/>
        <w:jc w:val="both"/>
        <w:rPr>
          <w:rFonts w:cs="Calibri"/>
          <w:sz w:val="20"/>
          <w:szCs w:val="20"/>
        </w:rPr>
      </w:pPr>
    </w:p>
    <w:p w14:paraId="756D764B" w14:textId="77777777" w:rsidR="007D1E76" w:rsidRPr="009F6E4B" w:rsidRDefault="007D1E76" w:rsidP="00CB41C4">
      <w:pPr>
        <w:tabs>
          <w:tab w:val="left" w:leader="underscore" w:pos="9639"/>
        </w:tabs>
        <w:spacing w:after="0" w:line="240" w:lineRule="auto"/>
        <w:jc w:val="both"/>
        <w:rPr>
          <w:rFonts w:cs="Calibri"/>
          <w:b/>
          <w:bCs/>
          <w:sz w:val="20"/>
          <w:szCs w:val="20"/>
        </w:rPr>
      </w:pPr>
      <w:r w:rsidRPr="009F6E4B">
        <w:rPr>
          <w:rFonts w:cs="Calibri"/>
          <w:b/>
          <w:bCs/>
          <w:sz w:val="20"/>
          <w:szCs w:val="20"/>
        </w:rPr>
        <w:t>*Revelar los cambios en las políticas, la clasificación y medición de las mismas, así como su impacto en la información financiera:</w:t>
      </w:r>
    </w:p>
    <w:p w14:paraId="0360043A" w14:textId="26870A37" w:rsidR="007D1E76" w:rsidRPr="009F6E4B" w:rsidRDefault="007D1E76" w:rsidP="00CB41C4">
      <w:pPr>
        <w:tabs>
          <w:tab w:val="left" w:leader="underscore" w:pos="9639"/>
        </w:tabs>
        <w:spacing w:after="0" w:line="240" w:lineRule="auto"/>
        <w:jc w:val="both"/>
        <w:rPr>
          <w:rFonts w:cs="Calibri"/>
          <w:sz w:val="20"/>
          <w:szCs w:val="20"/>
        </w:rPr>
      </w:pPr>
    </w:p>
    <w:p w14:paraId="771F3335" w14:textId="77777777"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57326D16" w14:textId="77777777" w:rsidR="006F0687" w:rsidRPr="009F6E4B" w:rsidRDefault="006F0687" w:rsidP="006F0687">
      <w:pPr>
        <w:tabs>
          <w:tab w:val="left" w:leader="underscore" w:pos="9639"/>
        </w:tabs>
        <w:spacing w:after="0" w:line="240" w:lineRule="auto"/>
        <w:jc w:val="both"/>
        <w:rPr>
          <w:rFonts w:cs="Calibri"/>
          <w:sz w:val="20"/>
          <w:szCs w:val="20"/>
        </w:rPr>
      </w:pPr>
    </w:p>
    <w:p w14:paraId="71521D40" w14:textId="25A82D8F" w:rsidR="006F0687" w:rsidRPr="009F6E4B" w:rsidRDefault="006F0687" w:rsidP="006F0687">
      <w:pPr>
        <w:tabs>
          <w:tab w:val="left" w:leader="underscore" w:pos="9639"/>
        </w:tabs>
        <w:spacing w:after="0" w:line="240" w:lineRule="auto"/>
        <w:jc w:val="both"/>
        <w:rPr>
          <w:rFonts w:cs="Calibri"/>
          <w:b/>
          <w:bCs/>
          <w:sz w:val="20"/>
          <w:szCs w:val="20"/>
        </w:rPr>
      </w:pPr>
      <w:r w:rsidRPr="009F6E4B">
        <w:rPr>
          <w:rFonts w:cs="Calibri"/>
          <w:b/>
          <w:bCs/>
          <w:sz w:val="20"/>
          <w:szCs w:val="20"/>
        </w:rPr>
        <w:t>*</w:t>
      </w:r>
      <w:r w:rsidR="00D546B2" w:rsidRPr="009F6E4B">
        <w:rPr>
          <w:rFonts w:cs="Calibri"/>
          <w:b/>
          <w:bCs/>
          <w:sz w:val="20"/>
          <w:szCs w:val="20"/>
        </w:rPr>
        <w:t>Presentar los últimos estados financieros con la normatividad anteriormente utilizada con las nuevas políticas para fines de comparación en la transición a la base de devengado.</w:t>
      </w:r>
    </w:p>
    <w:p w14:paraId="158EC49E" w14:textId="77777777" w:rsidR="007D1E76" w:rsidRPr="009F6E4B" w:rsidRDefault="007D1E76" w:rsidP="00CB41C4">
      <w:pPr>
        <w:tabs>
          <w:tab w:val="left" w:leader="underscore" w:pos="9639"/>
        </w:tabs>
        <w:spacing w:after="0" w:line="240" w:lineRule="auto"/>
        <w:jc w:val="both"/>
        <w:rPr>
          <w:rFonts w:cs="Calibri"/>
          <w:sz w:val="20"/>
          <w:szCs w:val="20"/>
        </w:rPr>
      </w:pPr>
    </w:p>
    <w:p w14:paraId="271F5ADC" w14:textId="77777777" w:rsidR="007E3F3E" w:rsidRPr="009F6E4B" w:rsidRDefault="007E3F3E" w:rsidP="007E3F3E">
      <w:pPr>
        <w:spacing w:after="0"/>
        <w:jc w:val="both"/>
        <w:rPr>
          <w:rFonts w:cs="Calibri"/>
          <w:b/>
          <w:sz w:val="20"/>
          <w:szCs w:val="20"/>
        </w:rPr>
      </w:pPr>
      <w:r w:rsidRPr="009F6E4B">
        <w:rPr>
          <w:rFonts w:eastAsia="Times New Roman" w:cs="Arial"/>
          <w:sz w:val="20"/>
          <w:szCs w:val="20"/>
        </w:rPr>
        <w:t>Esta nota no le aplica a este municipio.</w:t>
      </w:r>
    </w:p>
    <w:p w14:paraId="02FC60EF" w14:textId="77777777" w:rsidR="007E3F3E" w:rsidRPr="009F6E4B" w:rsidRDefault="007E3F3E" w:rsidP="00CB41C4">
      <w:pPr>
        <w:tabs>
          <w:tab w:val="left" w:leader="underscore" w:pos="9639"/>
        </w:tabs>
        <w:spacing w:after="0" w:line="240" w:lineRule="auto"/>
        <w:jc w:val="both"/>
        <w:rPr>
          <w:rFonts w:cs="Calibri"/>
          <w:sz w:val="20"/>
          <w:szCs w:val="20"/>
        </w:rPr>
      </w:pPr>
    </w:p>
    <w:p w14:paraId="7025E7E0" w14:textId="4C87F38F" w:rsidR="007D1E76" w:rsidRPr="009F6E4B" w:rsidRDefault="007F699D" w:rsidP="000C3365">
      <w:pPr>
        <w:pStyle w:val="Ttulo2"/>
        <w:rPr>
          <w:rFonts w:cs="Calibri"/>
          <w:b/>
          <w:sz w:val="20"/>
          <w:szCs w:val="20"/>
        </w:rPr>
      </w:pPr>
      <w:bookmarkStart w:id="6" w:name="_Toc227665762"/>
      <w:r w:rsidRPr="009F6E4B">
        <w:rPr>
          <w:rFonts w:asciiTheme="minorHAnsi" w:hAnsiTheme="minorHAnsi" w:cstheme="minorHAnsi"/>
          <w:b/>
          <w:color w:val="auto"/>
          <w:sz w:val="20"/>
          <w:szCs w:val="20"/>
        </w:rPr>
        <w:t>5</w:t>
      </w:r>
      <w:r w:rsidR="007D1E76" w:rsidRPr="009F6E4B">
        <w:rPr>
          <w:rFonts w:asciiTheme="minorHAnsi" w:hAnsiTheme="minorHAnsi" w:cstheme="minorHAnsi"/>
          <w:b/>
          <w:color w:val="auto"/>
          <w:sz w:val="20"/>
          <w:szCs w:val="20"/>
        </w:rPr>
        <w:t>. Políticas de</w:t>
      </w:r>
      <w:r w:rsidR="00E00323" w:rsidRPr="009F6E4B">
        <w:rPr>
          <w:rFonts w:asciiTheme="minorHAnsi" w:hAnsiTheme="minorHAnsi" w:cstheme="minorHAnsi"/>
          <w:b/>
          <w:color w:val="auto"/>
          <w:sz w:val="20"/>
          <w:szCs w:val="20"/>
        </w:rPr>
        <w:t xml:space="preserve"> Contabilidad Significativas:</w:t>
      </w:r>
      <w:bookmarkEnd w:id="6"/>
    </w:p>
    <w:p w14:paraId="6E171C3A" w14:textId="77777777" w:rsidR="006A65AB" w:rsidRPr="009F6E4B" w:rsidRDefault="006A65AB" w:rsidP="00AF4375">
      <w:pPr>
        <w:tabs>
          <w:tab w:val="left" w:leader="underscore" w:pos="9639"/>
        </w:tabs>
        <w:spacing w:after="0" w:line="240" w:lineRule="auto"/>
        <w:jc w:val="both"/>
        <w:rPr>
          <w:rFonts w:cs="Calibri"/>
          <w:sz w:val="20"/>
          <w:szCs w:val="20"/>
        </w:rPr>
      </w:pPr>
    </w:p>
    <w:p w14:paraId="685C2AC3" w14:textId="1CBBDCEC" w:rsidR="00AF4375" w:rsidRPr="009F6E4B" w:rsidRDefault="00AF4375" w:rsidP="00AF4375">
      <w:pPr>
        <w:tabs>
          <w:tab w:val="left" w:leader="underscore" w:pos="9639"/>
        </w:tabs>
        <w:spacing w:after="0" w:line="240" w:lineRule="auto"/>
        <w:jc w:val="both"/>
        <w:rPr>
          <w:rFonts w:cs="Calibri"/>
          <w:sz w:val="20"/>
          <w:szCs w:val="20"/>
        </w:rPr>
      </w:pPr>
      <w:r w:rsidRPr="009F6E4B">
        <w:rPr>
          <w:rFonts w:cs="Calibri"/>
          <w:sz w:val="20"/>
          <w:szCs w:val="20"/>
        </w:rPr>
        <w:t xml:space="preserve">Son los principios, bases, reglas y procedimientos específicos adoptados por el ente público en la elaboración y presentación de sus estados financieros. </w:t>
      </w:r>
    </w:p>
    <w:p w14:paraId="0DFB7903" w14:textId="77777777" w:rsidR="006A65AB" w:rsidRPr="009F6E4B" w:rsidRDefault="006A65AB" w:rsidP="00AF4375">
      <w:pPr>
        <w:tabs>
          <w:tab w:val="left" w:leader="underscore" w:pos="9639"/>
        </w:tabs>
        <w:spacing w:after="0" w:line="240" w:lineRule="auto"/>
        <w:jc w:val="both"/>
        <w:rPr>
          <w:rFonts w:cs="Calibri"/>
          <w:sz w:val="20"/>
          <w:szCs w:val="20"/>
        </w:rPr>
      </w:pPr>
    </w:p>
    <w:p w14:paraId="793D8065" w14:textId="32E17174" w:rsidR="007D1E76" w:rsidRPr="009F6E4B" w:rsidRDefault="00AF4375" w:rsidP="00AF4375">
      <w:pPr>
        <w:tabs>
          <w:tab w:val="left" w:leader="underscore" w:pos="9639"/>
        </w:tabs>
        <w:spacing w:after="0" w:line="240" w:lineRule="auto"/>
        <w:jc w:val="both"/>
        <w:rPr>
          <w:rFonts w:cs="Calibri"/>
          <w:sz w:val="20"/>
          <w:szCs w:val="20"/>
        </w:rPr>
      </w:pPr>
      <w:r w:rsidRPr="009F6E4B">
        <w:rPr>
          <w:rFonts w:cs="Calibri"/>
          <w:sz w:val="20"/>
          <w:szCs w:val="20"/>
        </w:rPr>
        <w:t>El ente público seleccionará y aplicará sus políticas contables de manera congruente para transacciones, otros eventos y condiciones que sean similares.</w:t>
      </w:r>
    </w:p>
    <w:p w14:paraId="4773A4FE"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3A8D7951" w14:textId="77777777" w:rsidR="007D1E76" w:rsidRPr="009F6E4B" w:rsidRDefault="007D1E76" w:rsidP="00CB41C4">
      <w:pPr>
        <w:tabs>
          <w:tab w:val="left" w:leader="underscore" w:pos="9639"/>
        </w:tabs>
        <w:spacing w:after="0" w:line="240" w:lineRule="auto"/>
        <w:jc w:val="both"/>
        <w:rPr>
          <w:rFonts w:cs="Calibri"/>
          <w:sz w:val="20"/>
          <w:szCs w:val="20"/>
        </w:rPr>
      </w:pPr>
    </w:p>
    <w:p w14:paraId="6073F87B" w14:textId="088E4F59"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a) </w:t>
      </w:r>
      <w:r w:rsidR="00FC1AE8" w:rsidRPr="009F6E4B">
        <w:rPr>
          <w:rFonts w:cs="Calibri"/>
          <w:b/>
          <w:sz w:val="20"/>
          <w:szCs w:val="20"/>
        </w:rPr>
        <w:t>Actualización: se informará del método utilizado para la actualización del valor de los activos, pasivos y Hacienda Pública/Patrimonio y las razones de dicha elección. Así como informar de la desconexión o reconexión inflacionaria</w:t>
      </w:r>
      <w:r w:rsidRPr="009F6E4B">
        <w:rPr>
          <w:rFonts w:cs="Calibri"/>
          <w:b/>
          <w:sz w:val="20"/>
          <w:szCs w:val="20"/>
        </w:rPr>
        <w:t>:</w:t>
      </w:r>
    </w:p>
    <w:p w14:paraId="2923F96E" w14:textId="3069B213" w:rsidR="007E3F3E" w:rsidRPr="00A01636" w:rsidRDefault="007E3F3E" w:rsidP="007E3F3E">
      <w:pPr>
        <w:spacing w:after="0"/>
        <w:jc w:val="both"/>
        <w:rPr>
          <w:rFonts w:eastAsia="Times New Roman" w:cs="Arial"/>
          <w:sz w:val="20"/>
          <w:szCs w:val="20"/>
          <w:highlight w:val="yellow"/>
        </w:rPr>
      </w:pPr>
    </w:p>
    <w:p w14:paraId="5C838536" w14:textId="454ECD45" w:rsidR="003272F0" w:rsidRPr="008D274C" w:rsidRDefault="008D274C" w:rsidP="008D274C">
      <w:pPr>
        <w:spacing w:after="0"/>
        <w:jc w:val="both"/>
        <w:rPr>
          <w:rFonts w:eastAsia="Times New Roman" w:cs="Arial"/>
          <w:sz w:val="20"/>
          <w:szCs w:val="20"/>
        </w:rPr>
      </w:pPr>
      <w:r w:rsidRPr="008D274C">
        <w:rPr>
          <w:rFonts w:eastAsia="Times New Roman" w:cs="Arial"/>
          <w:sz w:val="20"/>
          <w:szCs w:val="20"/>
        </w:rPr>
        <w:t>Se actualizo el valor de los Bienes inmuebles en base a los avalúos catastrales.</w:t>
      </w:r>
    </w:p>
    <w:p w14:paraId="7B25AE9F" w14:textId="77777777" w:rsidR="008D274C" w:rsidRPr="009F6E4B" w:rsidRDefault="008D274C" w:rsidP="00CB41C4">
      <w:pPr>
        <w:tabs>
          <w:tab w:val="left" w:leader="underscore" w:pos="9639"/>
        </w:tabs>
        <w:spacing w:after="0" w:line="240" w:lineRule="auto"/>
        <w:jc w:val="both"/>
        <w:rPr>
          <w:rFonts w:cs="Calibri"/>
          <w:sz w:val="20"/>
          <w:szCs w:val="20"/>
        </w:rPr>
      </w:pPr>
    </w:p>
    <w:p w14:paraId="3D8017C2" w14:textId="13DA86EE"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w:t>
      </w:r>
      <w:r w:rsidR="001C710C" w:rsidRPr="009F6E4B">
        <w:rPr>
          <w:rFonts w:cs="Calibri"/>
          <w:b/>
          <w:sz w:val="20"/>
          <w:szCs w:val="20"/>
        </w:rPr>
        <w:t>Informar sobre la realización de operaciones en el extranjero y de sus efectos en la información financiera gubernamental, considerando entre otros el importe de las variaciones cambiarias reconocidas en el resultado (ahorro o desahorro)</w:t>
      </w:r>
      <w:r w:rsidRPr="009F6E4B">
        <w:rPr>
          <w:rFonts w:cs="Calibri"/>
          <w:b/>
          <w:sz w:val="20"/>
          <w:szCs w:val="20"/>
        </w:rPr>
        <w:t>:</w:t>
      </w:r>
    </w:p>
    <w:p w14:paraId="35FCED94" w14:textId="77777777" w:rsidR="007D1E76" w:rsidRPr="009F6E4B" w:rsidRDefault="007D1E76" w:rsidP="00CB41C4">
      <w:pPr>
        <w:tabs>
          <w:tab w:val="left" w:leader="underscore" w:pos="9639"/>
        </w:tabs>
        <w:spacing w:after="0" w:line="240" w:lineRule="auto"/>
        <w:jc w:val="both"/>
        <w:rPr>
          <w:rFonts w:cs="Calibri"/>
          <w:sz w:val="20"/>
          <w:szCs w:val="20"/>
        </w:rPr>
      </w:pPr>
    </w:p>
    <w:p w14:paraId="6CFDB50C" w14:textId="77777777" w:rsidR="007E3F3E" w:rsidRPr="009F6E4B" w:rsidRDefault="007E3F3E" w:rsidP="007E3F3E">
      <w:pPr>
        <w:spacing w:after="0"/>
        <w:jc w:val="both"/>
        <w:rPr>
          <w:rFonts w:cs="Calibri"/>
          <w:sz w:val="20"/>
          <w:szCs w:val="20"/>
        </w:rPr>
      </w:pPr>
      <w:r w:rsidRPr="009F6E4B">
        <w:rPr>
          <w:rFonts w:eastAsia="Times New Roman" w:cs="Arial"/>
          <w:sz w:val="20"/>
          <w:szCs w:val="20"/>
        </w:rPr>
        <w:t>Al periodo no se han realizado operaciones en el extranjero.</w:t>
      </w:r>
    </w:p>
    <w:p w14:paraId="4FB1A46C" w14:textId="77777777" w:rsidR="007E3F3E" w:rsidRPr="009F6E4B" w:rsidRDefault="007E3F3E" w:rsidP="00CB41C4">
      <w:pPr>
        <w:tabs>
          <w:tab w:val="left" w:leader="underscore" w:pos="9639"/>
        </w:tabs>
        <w:spacing w:after="0" w:line="240" w:lineRule="auto"/>
        <w:jc w:val="both"/>
        <w:rPr>
          <w:rFonts w:cs="Calibri"/>
          <w:sz w:val="20"/>
          <w:szCs w:val="20"/>
        </w:rPr>
      </w:pPr>
    </w:p>
    <w:p w14:paraId="433324F3" w14:textId="626DBDA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c) </w:t>
      </w:r>
      <w:r w:rsidR="00E9132F" w:rsidRPr="009F6E4B">
        <w:rPr>
          <w:rFonts w:cs="Calibri"/>
          <w:b/>
          <w:sz w:val="20"/>
          <w:szCs w:val="20"/>
        </w:rPr>
        <w:t>Método de valuación de la inversión en acciones de Compañías subsidiarias no consolidadas y asociadas</w:t>
      </w:r>
      <w:r w:rsidRPr="009F6E4B">
        <w:rPr>
          <w:rFonts w:cs="Calibri"/>
          <w:b/>
          <w:sz w:val="20"/>
          <w:szCs w:val="20"/>
        </w:rPr>
        <w:t>:</w:t>
      </w:r>
    </w:p>
    <w:p w14:paraId="5C178A30" w14:textId="77777777" w:rsidR="007E3F3E" w:rsidRPr="009F6E4B" w:rsidRDefault="007E3F3E" w:rsidP="00CB41C4">
      <w:pPr>
        <w:tabs>
          <w:tab w:val="left" w:leader="underscore" w:pos="9639"/>
        </w:tabs>
        <w:spacing w:after="0" w:line="240" w:lineRule="auto"/>
        <w:jc w:val="both"/>
        <w:rPr>
          <w:rFonts w:cs="Calibri"/>
          <w:sz w:val="20"/>
          <w:szCs w:val="20"/>
        </w:rPr>
      </w:pPr>
    </w:p>
    <w:p w14:paraId="0E1D44F5" w14:textId="3F0E3A12" w:rsidR="007E3F3E" w:rsidRPr="009F6E4B" w:rsidRDefault="007E3F3E" w:rsidP="00CB41C4">
      <w:pPr>
        <w:tabs>
          <w:tab w:val="left" w:leader="underscore" w:pos="9639"/>
        </w:tabs>
        <w:spacing w:after="0" w:line="240" w:lineRule="auto"/>
        <w:jc w:val="both"/>
        <w:rPr>
          <w:rFonts w:eastAsia="Times New Roman" w:cs="Arial"/>
          <w:sz w:val="20"/>
          <w:szCs w:val="20"/>
        </w:rPr>
      </w:pPr>
      <w:r w:rsidRPr="009F6E4B">
        <w:rPr>
          <w:rFonts w:eastAsia="Times New Roman" w:cs="Arial"/>
          <w:sz w:val="20"/>
          <w:szCs w:val="20"/>
        </w:rPr>
        <w:lastRenderedPageBreak/>
        <w:t>Al periodo no se tienen inversiones en acciones de Compañías subsidiarias no consolidadas y asociadas.</w:t>
      </w:r>
    </w:p>
    <w:p w14:paraId="1FD69610" w14:textId="77777777" w:rsidR="007E3F3E" w:rsidRPr="009F6E4B" w:rsidRDefault="007E3F3E" w:rsidP="00CB41C4">
      <w:pPr>
        <w:tabs>
          <w:tab w:val="left" w:leader="underscore" w:pos="9639"/>
        </w:tabs>
        <w:spacing w:after="0" w:line="240" w:lineRule="auto"/>
        <w:jc w:val="both"/>
        <w:rPr>
          <w:rFonts w:cs="Calibri"/>
          <w:sz w:val="20"/>
          <w:szCs w:val="20"/>
        </w:rPr>
      </w:pPr>
    </w:p>
    <w:p w14:paraId="7AB12262"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Sistema y método de valuación de inventarios y costo de lo vendido:</w:t>
      </w:r>
    </w:p>
    <w:p w14:paraId="0B282127" w14:textId="77777777" w:rsidR="007D1E76" w:rsidRPr="009F6E4B" w:rsidRDefault="007D1E76" w:rsidP="00CB41C4">
      <w:pPr>
        <w:tabs>
          <w:tab w:val="left" w:leader="underscore" w:pos="9639"/>
        </w:tabs>
        <w:spacing w:after="0" w:line="240" w:lineRule="auto"/>
        <w:jc w:val="both"/>
        <w:rPr>
          <w:rFonts w:cs="Calibri"/>
          <w:sz w:val="20"/>
          <w:szCs w:val="20"/>
        </w:rPr>
      </w:pPr>
    </w:p>
    <w:p w14:paraId="0B4FE720" w14:textId="77777777" w:rsidR="007E3F3E" w:rsidRPr="009F6E4B" w:rsidRDefault="007E3F3E" w:rsidP="007E3F3E">
      <w:pPr>
        <w:spacing w:after="0"/>
        <w:jc w:val="both"/>
        <w:rPr>
          <w:rFonts w:cs="Calibri"/>
          <w:sz w:val="20"/>
          <w:szCs w:val="20"/>
        </w:rPr>
      </w:pPr>
      <w:r w:rsidRPr="009F6E4B">
        <w:rPr>
          <w:rFonts w:eastAsia="Times New Roman" w:cs="Arial"/>
          <w:sz w:val="20"/>
          <w:szCs w:val="20"/>
        </w:rPr>
        <w:t>Al periodo no se cuenta con inventario de mercancías para venta, por lo que no se tiene un método de valuación y costo de lo vendido</w:t>
      </w:r>
      <w:r w:rsidRPr="009F6E4B">
        <w:rPr>
          <w:rFonts w:ascii="Arial" w:hAnsi="Arial" w:cs="Arial"/>
          <w:sz w:val="20"/>
          <w:szCs w:val="20"/>
        </w:rPr>
        <w:t>.</w:t>
      </w:r>
    </w:p>
    <w:p w14:paraId="1B6EF8EA" w14:textId="77777777" w:rsidR="007E3F3E" w:rsidRPr="009F6E4B" w:rsidRDefault="007E3F3E" w:rsidP="00CB41C4">
      <w:pPr>
        <w:tabs>
          <w:tab w:val="left" w:leader="underscore" w:pos="9639"/>
        </w:tabs>
        <w:spacing w:after="0" w:line="240" w:lineRule="auto"/>
        <w:jc w:val="both"/>
        <w:rPr>
          <w:rFonts w:cs="Calibri"/>
          <w:sz w:val="20"/>
          <w:szCs w:val="20"/>
        </w:rPr>
      </w:pPr>
    </w:p>
    <w:p w14:paraId="1D8C904A"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Beneficios a empleados: revelar el cálculo de la reserva actuarial, valor presente de los ingresos esperados comparado con el valor presente de la estimación de gastos tanto de los beneficiarios actuales como futuros:</w:t>
      </w:r>
    </w:p>
    <w:p w14:paraId="6636D845" w14:textId="77777777" w:rsidR="007D1E76" w:rsidRPr="009F6E4B" w:rsidRDefault="007D1E76" w:rsidP="00CB41C4">
      <w:pPr>
        <w:tabs>
          <w:tab w:val="left" w:leader="underscore" w:pos="9639"/>
        </w:tabs>
        <w:spacing w:after="0" w:line="240" w:lineRule="auto"/>
        <w:jc w:val="both"/>
        <w:rPr>
          <w:rFonts w:cs="Calibri"/>
          <w:sz w:val="20"/>
          <w:szCs w:val="20"/>
        </w:rPr>
      </w:pPr>
    </w:p>
    <w:p w14:paraId="696D7C53" w14:textId="77777777" w:rsidR="00761960" w:rsidRPr="009F6E4B" w:rsidRDefault="00761960" w:rsidP="00761960">
      <w:pPr>
        <w:spacing w:after="0"/>
        <w:jc w:val="both"/>
        <w:rPr>
          <w:rFonts w:cs="Calibri"/>
          <w:b/>
          <w:bCs/>
          <w:sz w:val="20"/>
          <w:szCs w:val="20"/>
        </w:rPr>
      </w:pPr>
      <w:r w:rsidRPr="009F6E4B">
        <w:rPr>
          <w:rFonts w:eastAsia="Times New Roman" w:cs="Arial"/>
          <w:b/>
          <w:bCs/>
          <w:sz w:val="20"/>
          <w:szCs w:val="20"/>
        </w:rPr>
        <w:t>Al periodo no se tienen beneficios para empleados en cuestión de reserva actuarial.</w:t>
      </w:r>
    </w:p>
    <w:p w14:paraId="284767AD" w14:textId="77777777" w:rsidR="00761960" w:rsidRPr="009F6E4B" w:rsidRDefault="00761960" w:rsidP="00CB41C4">
      <w:pPr>
        <w:tabs>
          <w:tab w:val="left" w:leader="underscore" w:pos="9639"/>
        </w:tabs>
        <w:spacing w:after="0" w:line="240" w:lineRule="auto"/>
        <w:jc w:val="both"/>
        <w:rPr>
          <w:rFonts w:cs="Calibri"/>
          <w:sz w:val="20"/>
          <w:szCs w:val="20"/>
        </w:rPr>
      </w:pPr>
    </w:p>
    <w:p w14:paraId="6113C38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f)</w:t>
      </w:r>
      <w:r w:rsidRPr="009F6E4B">
        <w:rPr>
          <w:rFonts w:cs="Calibri"/>
          <w:sz w:val="20"/>
          <w:szCs w:val="20"/>
        </w:rPr>
        <w:t xml:space="preserve"> Provisiones: objetivo de su creación, monto y plazo:</w:t>
      </w:r>
    </w:p>
    <w:p w14:paraId="0AB44A38" w14:textId="77777777" w:rsidR="007D1E76" w:rsidRPr="009F6E4B" w:rsidRDefault="007D1E76" w:rsidP="00CB41C4">
      <w:pPr>
        <w:tabs>
          <w:tab w:val="left" w:leader="underscore" w:pos="9639"/>
        </w:tabs>
        <w:spacing w:after="0" w:line="240" w:lineRule="auto"/>
        <w:jc w:val="both"/>
        <w:rPr>
          <w:rFonts w:cs="Calibri"/>
          <w:sz w:val="20"/>
          <w:szCs w:val="20"/>
        </w:rPr>
      </w:pPr>
    </w:p>
    <w:p w14:paraId="2D74496A"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contablemente no se tienen provisiones.</w:t>
      </w:r>
    </w:p>
    <w:p w14:paraId="67BF357F" w14:textId="77777777" w:rsidR="00761960" w:rsidRPr="009F6E4B" w:rsidRDefault="00761960" w:rsidP="00CB41C4">
      <w:pPr>
        <w:tabs>
          <w:tab w:val="left" w:leader="underscore" w:pos="9639"/>
        </w:tabs>
        <w:spacing w:after="0" w:line="240" w:lineRule="auto"/>
        <w:jc w:val="both"/>
        <w:rPr>
          <w:rFonts w:cs="Calibri"/>
          <w:sz w:val="20"/>
          <w:szCs w:val="20"/>
        </w:rPr>
      </w:pPr>
    </w:p>
    <w:p w14:paraId="4190001D"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g) Reservas: objetivo de su creación, monto y plazo:</w:t>
      </w:r>
    </w:p>
    <w:p w14:paraId="48187B92" w14:textId="77777777" w:rsidR="007D1E76" w:rsidRPr="009F6E4B" w:rsidRDefault="007D1E76" w:rsidP="00CB41C4">
      <w:pPr>
        <w:tabs>
          <w:tab w:val="left" w:leader="underscore" w:pos="9639"/>
        </w:tabs>
        <w:spacing w:after="0" w:line="240" w:lineRule="auto"/>
        <w:jc w:val="both"/>
        <w:rPr>
          <w:rFonts w:cs="Calibri"/>
          <w:sz w:val="20"/>
          <w:szCs w:val="20"/>
        </w:rPr>
      </w:pPr>
    </w:p>
    <w:p w14:paraId="10680175"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contablemente no se tienen reservas.</w:t>
      </w:r>
    </w:p>
    <w:p w14:paraId="0AC70719" w14:textId="77777777" w:rsidR="00761960" w:rsidRPr="009F6E4B" w:rsidRDefault="00761960" w:rsidP="00CB41C4">
      <w:pPr>
        <w:tabs>
          <w:tab w:val="left" w:leader="underscore" w:pos="9639"/>
        </w:tabs>
        <w:spacing w:after="0" w:line="240" w:lineRule="auto"/>
        <w:jc w:val="both"/>
        <w:rPr>
          <w:rFonts w:cs="Calibri"/>
          <w:sz w:val="20"/>
          <w:szCs w:val="20"/>
        </w:rPr>
      </w:pPr>
    </w:p>
    <w:p w14:paraId="6E497DBB"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h) Cambios en políticas contables y corrección de errores junto con la revelación de los efectos que se tendrá en la información financiera del ente público, ya sea retrospectivos o prospectivos:</w:t>
      </w:r>
    </w:p>
    <w:p w14:paraId="2B6668A3" w14:textId="77777777" w:rsidR="007D1E76" w:rsidRPr="009F6E4B" w:rsidRDefault="007D1E76" w:rsidP="00CB41C4">
      <w:pPr>
        <w:tabs>
          <w:tab w:val="left" w:leader="underscore" w:pos="9639"/>
        </w:tabs>
        <w:spacing w:after="0" w:line="240" w:lineRule="auto"/>
        <w:jc w:val="both"/>
        <w:rPr>
          <w:rFonts w:cs="Calibri"/>
          <w:sz w:val="20"/>
          <w:szCs w:val="20"/>
        </w:rPr>
      </w:pPr>
    </w:p>
    <w:p w14:paraId="4AD60C8C" w14:textId="55ADDAA0" w:rsidR="006A65AB" w:rsidRPr="00B61F45" w:rsidRDefault="00761960" w:rsidP="00B61F45">
      <w:pPr>
        <w:spacing w:after="0"/>
        <w:jc w:val="both"/>
        <w:rPr>
          <w:rFonts w:cs="Calibri"/>
          <w:sz w:val="20"/>
          <w:szCs w:val="20"/>
        </w:rPr>
      </w:pPr>
      <w:r w:rsidRPr="009F6E4B">
        <w:rPr>
          <w:rFonts w:eastAsia="Times New Roman" w:cs="Arial"/>
          <w:sz w:val="20"/>
          <w:szCs w:val="20"/>
        </w:rPr>
        <w:t>Los cambios en políticas contables que se llevaron a cabo en este ente público para la emisión de información financiera, fueron de acuerdo la Ley General de Contabilidad Gubernamental y la Normatividad vigente emitida por el CONAC hasta el periodo que se informa.</w:t>
      </w:r>
    </w:p>
    <w:p w14:paraId="3A6A6277" w14:textId="77777777" w:rsidR="006A65AB" w:rsidRPr="009F6E4B" w:rsidRDefault="006A65AB" w:rsidP="00CB41C4">
      <w:pPr>
        <w:tabs>
          <w:tab w:val="left" w:leader="underscore" w:pos="9639"/>
        </w:tabs>
        <w:spacing w:after="0" w:line="240" w:lineRule="auto"/>
        <w:jc w:val="both"/>
        <w:rPr>
          <w:rFonts w:cs="Calibri"/>
          <w:b/>
          <w:sz w:val="20"/>
          <w:szCs w:val="20"/>
        </w:rPr>
      </w:pPr>
    </w:p>
    <w:p w14:paraId="12C8FA9A" w14:textId="10AC3B44"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i) Reclasificaciones: Se deben revelar todos aquellos movimientos entre cuentas por efectos de cambios en los tipos de operaciones:</w:t>
      </w:r>
    </w:p>
    <w:p w14:paraId="5B964C83" w14:textId="77777777" w:rsidR="00761960" w:rsidRPr="009F6E4B" w:rsidRDefault="00761960" w:rsidP="00761960">
      <w:pPr>
        <w:spacing w:after="0"/>
        <w:jc w:val="both"/>
        <w:rPr>
          <w:rFonts w:eastAsia="Times New Roman" w:cs="Arial"/>
          <w:sz w:val="20"/>
          <w:szCs w:val="20"/>
        </w:rPr>
      </w:pPr>
    </w:p>
    <w:p w14:paraId="488619BD" w14:textId="77777777" w:rsidR="00761960" w:rsidRPr="009F6E4B" w:rsidRDefault="00761960" w:rsidP="00761960">
      <w:pPr>
        <w:spacing w:after="0"/>
        <w:jc w:val="both"/>
        <w:rPr>
          <w:rFonts w:cs="Calibri"/>
          <w:sz w:val="20"/>
          <w:szCs w:val="20"/>
        </w:rPr>
      </w:pPr>
      <w:r w:rsidRPr="009F6E4B">
        <w:rPr>
          <w:rFonts w:eastAsia="Times New Roman" w:cs="Arial"/>
          <w:sz w:val="20"/>
          <w:szCs w:val="20"/>
        </w:rPr>
        <w:t>Las reclasificaciones realizadas en el periodo son reclasificaciones contables que no efectúan cambios en los tipos de operación.</w:t>
      </w:r>
    </w:p>
    <w:p w14:paraId="6E29C8B6" w14:textId="77777777" w:rsidR="007D1E76" w:rsidRPr="009F6E4B" w:rsidRDefault="007D1E76" w:rsidP="00CB41C4">
      <w:pPr>
        <w:tabs>
          <w:tab w:val="left" w:leader="underscore" w:pos="9639"/>
        </w:tabs>
        <w:spacing w:after="0" w:line="240" w:lineRule="auto"/>
        <w:jc w:val="both"/>
        <w:rPr>
          <w:rFonts w:cs="Calibri"/>
          <w:sz w:val="20"/>
          <w:szCs w:val="20"/>
        </w:rPr>
      </w:pPr>
    </w:p>
    <w:p w14:paraId="5405EF84"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j) Depuración y cancelación de saldos:</w:t>
      </w:r>
    </w:p>
    <w:p w14:paraId="051C6058" w14:textId="77777777" w:rsidR="00E00323" w:rsidRPr="009F6E4B" w:rsidRDefault="00E00323" w:rsidP="00CB41C4">
      <w:pPr>
        <w:tabs>
          <w:tab w:val="left" w:leader="underscore" w:pos="9639"/>
        </w:tabs>
        <w:spacing w:after="0" w:line="240" w:lineRule="auto"/>
        <w:jc w:val="both"/>
        <w:rPr>
          <w:rFonts w:cs="Calibri"/>
          <w:sz w:val="20"/>
          <w:szCs w:val="20"/>
        </w:rPr>
      </w:pPr>
    </w:p>
    <w:p w14:paraId="649A90E8" w14:textId="77777777" w:rsidR="00761960" w:rsidRPr="009F6E4B" w:rsidRDefault="00761960" w:rsidP="00761960">
      <w:pPr>
        <w:spacing w:after="0"/>
        <w:jc w:val="both"/>
        <w:rPr>
          <w:rFonts w:cs="Calibri"/>
          <w:sz w:val="20"/>
          <w:szCs w:val="20"/>
        </w:rPr>
      </w:pPr>
      <w:r w:rsidRPr="009F6E4B">
        <w:rPr>
          <w:rFonts w:eastAsia="Times New Roman" w:cs="Arial"/>
          <w:sz w:val="20"/>
          <w:szCs w:val="20"/>
        </w:rPr>
        <w:t>Al periodo no se han realizado depuraciones de saldos.</w:t>
      </w:r>
    </w:p>
    <w:p w14:paraId="5E18484D" w14:textId="77777777" w:rsidR="00761960" w:rsidRPr="009F6E4B" w:rsidRDefault="00761960" w:rsidP="00CB41C4">
      <w:pPr>
        <w:tabs>
          <w:tab w:val="left" w:leader="underscore" w:pos="9639"/>
        </w:tabs>
        <w:spacing w:after="0" w:line="240" w:lineRule="auto"/>
        <w:jc w:val="both"/>
        <w:rPr>
          <w:rFonts w:cs="Calibri"/>
          <w:sz w:val="20"/>
          <w:szCs w:val="20"/>
        </w:rPr>
      </w:pPr>
    </w:p>
    <w:p w14:paraId="2CA8BAC1" w14:textId="16AB8AA7" w:rsidR="007D1E76" w:rsidRPr="009F6E4B" w:rsidRDefault="003E6C64" w:rsidP="000C3365">
      <w:pPr>
        <w:pStyle w:val="Ttulo2"/>
        <w:rPr>
          <w:rFonts w:asciiTheme="minorHAnsi" w:hAnsiTheme="minorHAnsi" w:cstheme="minorHAnsi"/>
          <w:b/>
          <w:color w:val="auto"/>
          <w:sz w:val="20"/>
          <w:szCs w:val="20"/>
        </w:rPr>
      </w:pPr>
      <w:bookmarkStart w:id="7" w:name="_Toc227665763"/>
      <w:r w:rsidRPr="009F6E4B">
        <w:rPr>
          <w:rFonts w:asciiTheme="minorHAnsi" w:hAnsiTheme="minorHAnsi" w:cstheme="minorHAnsi"/>
          <w:b/>
          <w:color w:val="auto"/>
          <w:sz w:val="20"/>
          <w:szCs w:val="20"/>
        </w:rPr>
        <w:lastRenderedPageBreak/>
        <w:t>6</w:t>
      </w:r>
      <w:r w:rsidR="007D1E76" w:rsidRPr="009F6E4B">
        <w:rPr>
          <w:rFonts w:asciiTheme="minorHAnsi" w:hAnsiTheme="minorHAnsi" w:cstheme="minorHAnsi"/>
          <w:b/>
          <w:color w:val="auto"/>
          <w:sz w:val="20"/>
          <w:szCs w:val="20"/>
        </w:rPr>
        <w:t>. Posición en Moneda Extranjera y Pro</w:t>
      </w:r>
      <w:r w:rsidR="00E00323" w:rsidRPr="009F6E4B">
        <w:rPr>
          <w:rFonts w:asciiTheme="minorHAnsi" w:hAnsiTheme="minorHAnsi" w:cstheme="minorHAnsi"/>
          <w:b/>
          <w:color w:val="auto"/>
          <w:sz w:val="20"/>
          <w:szCs w:val="20"/>
        </w:rPr>
        <w:t>tección por Riesgo Cambiario:</w:t>
      </w:r>
      <w:bookmarkEnd w:id="7"/>
    </w:p>
    <w:p w14:paraId="60114D16" w14:textId="77777777" w:rsidR="007D1E76" w:rsidRPr="009F6E4B" w:rsidRDefault="007D1E76" w:rsidP="00CB41C4">
      <w:pPr>
        <w:tabs>
          <w:tab w:val="left" w:leader="underscore" w:pos="9639"/>
        </w:tabs>
        <w:spacing w:after="0" w:line="240" w:lineRule="auto"/>
        <w:jc w:val="both"/>
        <w:rPr>
          <w:rFonts w:cs="Calibri"/>
          <w:sz w:val="20"/>
          <w:szCs w:val="20"/>
        </w:rPr>
      </w:pPr>
    </w:p>
    <w:p w14:paraId="12C7301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sobre:</w:t>
      </w:r>
    </w:p>
    <w:p w14:paraId="7E8BC54D" w14:textId="77777777" w:rsidR="007D1E76" w:rsidRPr="009F6E4B" w:rsidRDefault="007D1E76" w:rsidP="00CB41C4">
      <w:pPr>
        <w:tabs>
          <w:tab w:val="left" w:leader="underscore" w:pos="9639"/>
        </w:tabs>
        <w:spacing w:after="0" w:line="240" w:lineRule="auto"/>
        <w:jc w:val="both"/>
        <w:rPr>
          <w:rFonts w:cs="Calibri"/>
          <w:sz w:val="20"/>
          <w:szCs w:val="20"/>
        </w:rPr>
      </w:pPr>
    </w:p>
    <w:p w14:paraId="531D25F7"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Activos en moneda extranjera:</w:t>
      </w:r>
    </w:p>
    <w:p w14:paraId="43F08C55" w14:textId="77777777" w:rsidR="007D1E76" w:rsidRPr="009F6E4B" w:rsidRDefault="007D1E76" w:rsidP="00CB41C4">
      <w:pPr>
        <w:tabs>
          <w:tab w:val="left" w:leader="underscore" w:pos="9639"/>
        </w:tabs>
        <w:spacing w:after="0" w:line="240" w:lineRule="auto"/>
        <w:jc w:val="both"/>
        <w:rPr>
          <w:rFonts w:cs="Calibri"/>
          <w:sz w:val="20"/>
          <w:szCs w:val="20"/>
        </w:rPr>
      </w:pPr>
    </w:p>
    <w:p w14:paraId="71CEB671"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688F6192" w14:textId="77777777" w:rsidR="001A004E" w:rsidRPr="009F6E4B" w:rsidRDefault="001A004E" w:rsidP="00CB41C4">
      <w:pPr>
        <w:tabs>
          <w:tab w:val="left" w:leader="underscore" w:pos="9639"/>
        </w:tabs>
        <w:spacing w:after="0" w:line="240" w:lineRule="auto"/>
        <w:jc w:val="both"/>
        <w:rPr>
          <w:rFonts w:cs="Calibri"/>
          <w:sz w:val="20"/>
          <w:szCs w:val="20"/>
        </w:rPr>
      </w:pPr>
    </w:p>
    <w:p w14:paraId="7E44729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Pasivos en moneda extranjera:</w:t>
      </w:r>
    </w:p>
    <w:p w14:paraId="54FFA38F" w14:textId="77777777" w:rsidR="007D1E76" w:rsidRPr="009F6E4B" w:rsidRDefault="007D1E76" w:rsidP="00CB41C4">
      <w:pPr>
        <w:tabs>
          <w:tab w:val="left" w:leader="underscore" w:pos="9639"/>
        </w:tabs>
        <w:spacing w:after="0" w:line="240" w:lineRule="auto"/>
        <w:jc w:val="both"/>
        <w:rPr>
          <w:rFonts w:cs="Calibri"/>
          <w:sz w:val="20"/>
          <w:szCs w:val="20"/>
        </w:rPr>
      </w:pPr>
    </w:p>
    <w:p w14:paraId="7755F01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pasivos en Moneda Extranjera</w:t>
      </w:r>
    </w:p>
    <w:p w14:paraId="2494B0F8" w14:textId="77777777" w:rsidR="001A004E" w:rsidRPr="009F6E4B" w:rsidRDefault="001A004E" w:rsidP="00CB41C4">
      <w:pPr>
        <w:tabs>
          <w:tab w:val="left" w:leader="underscore" w:pos="9639"/>
        </w:tabs>
        <w:spacing w:after="0" w:line="240" w:lineRule="auto"/>
        <w:jc w:val="both"/>
        <w:rPr>
          <w:rFonts w:cs="Calibri"/>
          <w:sz w:val="20"/>
          <w:szCs w:val="20"/>
        </w:rPr>
      </w:pPr>
    </w:p>
    <w:p w14:paraId="6E3298C9"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Posición en moneda extranjera:</w:t>
      </w:r>
    </w:p>
    <w:p w14:paraId="273CC39D" w14:textId="77777777" w:rsidR="007D1E76" w:rsidRPr="009F6E4B" w:rsidRDefault="007D1E76" w:rsidP="00CB41C4">
      <w:pPr>
        <w:tabs>
          <w:tab w:val="left" w:leader="underscore" w:pos="9639"/>
        </w:tabs>
        <w:spacing w:after="0" w:line="240" w:lineRule="auto"/>
        <w:jc w:val="both"/>
        <w:rPr>
          <w:rFonts w:cs="Calibri"/>
          <w:sz w:val="20"/>
          <w:szCs w:val="20"/>
        </w:rPr>
      </w:pPr>
    </w:p>
    <w:p w14:paraId="6B399CC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2FB26E2E" w14:textId="77777777" w:rsidR="001A004E" w:rsidRPr="009F6E4B" w:rsidRDefault="001A004E" w:rsidP="00CB41C4">
      <w:pPr>
        <w:tabs>
          <w:tab w:val="left" w:leader="underscore" w:pos="9639"/>
        </w:tabs>
        <w:spacing w:after="0" w:line="240" w:lineRule="auto"/>
        <w:jc w:val="both"/>
        <w:rPr>
          <w:rFonts w:cs="Calibri"/>
          <w:sz w:val="20"/>
          <w:szCs w:val="20"/>
        </w:rPr>
      </w:pPr>
    </w:p>
    <w:p w14:paraId="61291BC6"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Tipo de cambio:</w:t>
      </w:r>
    </w:p>
    <w:p w14:paraId="146CAEC1" w14:textId="77777777" w:rsidR="007D1E76" w:rsidRPr="009F6E4B" w:rsidRDefault="007D1E76" w:rsidP="00CB41C4">
      <w:pPr>
        <w:tabs>
          <w:tab w:val="left" w:leader="underscore" w:pos="9639"/>
        </w:tabs>
        <w:spacing w:after="0" w:line="240" w:lineRule="auto"/>
        <w:jc w:val="both"/>
        <w:rPr>
          <w:rFonts w:cs="Calibri"/>
          <w:sz w:val="20"/>
          <w:szCs w:val="20"/>
        </w:rPr>
      </w:pPr>
    </w:p>
    <w:p w14:paraId="5A1679F2"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09714952" w14:textId="77777777" w:rsidR="001A004E" w:rsidRPr="009F6E4B" w:rsidRDefault="001A004E" w:rsidP="00CB41C4">
      <w:pPr>
        <w:tabs>
          <w:tab w:val="left" w:leader="underscore" w:pos="9639"/>
        </w:tabs>
        <w:spacing w:after="0" w:line="240" w:lineRule="auto"/>
        <w:jc w:val="both"/>
        <w:rPr>
          <w:rFonts w:cs="Calibri"/>
          <w:sz w:val="20"/>
          <w:szCs w:val="20"/>
        </w:rPr>
      </w:pPr>
    </w:p>
    <w:p w14:paraId="2878D6F1"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Equivalente en moneda nacional:</w:t>
      </w:r>
    </w:p>
    <w:p w14:paraId="63BA699C" w14:textId="77777777" w:rsidR="007D1E76" w:rsidRPr="009F6E4B" w:rsidRDefault="007D1E76" w:rsidP="00CB41C4">
      <w:pPr>
        <w:tabs>
          <w:tab w:val="left" w:leader="underscore" w:pos="9639"/>
        </w:tabs>
        <w:spacing w:after="0" w:line="240" w:lineRule="auto"/>
        <w:jc w:val="both"/>
        <w:rPr>
          <w:rFonts w:cs="Calibri"/>
          <w:sz w:val="20"/>
          <w:szCs w:val="20"/>
        </w:rPr>
      </w:pPr>
    </w:p>
    <w:p w14:paraId="4E58206C" w14:textId="77777777" w:rsidR="001A004E" w:rsidRPr="009F6E4B" w:rsidRDefault="001A004E" w:rsidP="001A004E">
      <w:pPr>
        <w:spacing w:after="0"/>
        <w:jc w:val="both"/>
        <w:rPr>
          <w:rFonts w:cs="Calibri"/>
          <w:sz w:val="20"/>
          <w:szCs w:val="20"/>
        </w:rPr>
      </w:pPr>
      <w:r w:rsidRPr="009F6E4B">
        <w:rPr>
          <w:rFonts w:eastAsia="Times New Roman" w:cs="Arial"/>
          <w:sz w:val="20"/>
          <w:szCs w:val="20"/>
        </w:rPr>
        <w:t>No se tienen activos en Moneda Extranjera</w:t>
      </w:r>
    </w:p>
    <w:p w14:paraId="63E11E66" w14:textId="77777777" w:rsidR="001A004E" w:rsidRPr="009F6E4B" w:rsidRDefault="001A004E" w:rsidP="00CB41C4">
      <w:pPr>
        <w:tabs>
          <w:tab w:val="left" w:leader="underscore" w:pos="9639"/>
        </w:tabs>
        <w:spacing w:after="0" w:line="240" w:lineRule="auto"/>
        <w:jc w:val="both"/>
        <w:rPr>
          <w:rFonts w:cs="Calibri"/>
          <w:sz w:val="20"/>
          <w:szCs w:val="20"/>
        </w:rPr>
      </w:pPr>
    </w:p>
    <w:p w14:paraId="01728175" w14:textId="62F6B4DC"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Lo anterior por cada tipo de moneda extranjera que se encuentre en los rubros de activo y pasivo.</w:t>
      </w:r>
    </w:p>
    <w:p w14:paraId="20DD1BAE" w14:textId="4A4A65C9"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Adicionalmente</w:t>
      </w:r>
      <w:r w:rsidR="00D32331" w:rsidRPr="009F6E4B">
        <w:rPr>
          <w:rFonts w:cs="Calibri"/>
          <w:sz w:val="20"/>
          <w:szCs w:val="20"/>
        </w:rPr>
        <w:t>,</w:t>
      </w:r>
      <w:r w:rsidRPr="009F6E4B">
        <w:rPr>
          <w:rFonts w:cs="Calibri"/>
          <w:sz w:val="20"/>
          <w:szCs w:val="20"/>
        </w:rPr>
        <w:t xml:space="preserve"> se informará sobre los métodos de protección de riesgo por vari</w:t>
      </w:r>
      <w:r w:rsidR="00E00323" w:rsidRPr="009F6E4B">
        <w:rPr>
          <w:rFonts w:cs="Calibri"/>
          <w:sz w:val="20"/>
          <w:szCs w:val="20"/>
        </w:rPr>
        <w:t>aciones en el tipo de cambio.</w:t>
      </w:r>
    </w:p>
    <w:p w14:paraId="5D7BA233" w14:textId="77777777" w:rsidR="007D1E76" w:rsidRPr="009F6E4B" w:rsidRDefault="007D1E76" w:rsidP="00CB41C4">
      <w:pPr>
        <w:tabs>
          <w:tab w:val="left" w:leader="underscore" w:pos="9639"/>
        </w:tabs>
        <w:spacing w:after="0" w:line="240" w:lineRule="auto"/>
        <w:jc w:val="both"/>
        <w:rPr>
          <w:rFonts w:cs="Calibri"/>
          <w:sz w:val="20"/>
          <w:szCs w:val="20"/>
        </w:rPr>
      </w:pPr>
    </w:p>
    <w:p w14:paraId="095853FE" w14:textId="75928022" w:rsidR="007D1E76" w:rsidRPr="009F6E4B" w:rsidRDefault="0064059E" w:rsidP="000C3365">
      <w:pPr>
        <w:pStyle w:val="Ttulo2"/>
        <w:rPr>
          <w:rFonts w:asciiTheme="minorHAnsi" w:hAnsiTheme="minorHAnsi" w:cstheme="minorHAnsi"/>
          <w:b/>
          <w:color w:val="auto"/>
          <w:sz w:val="20"/>
          <w:szCs w:val="20"/>
        </w:rPr>
      </w:pPr>
      <w:bookmarkStart w:id="8" w:name="_Toc227665764"/>
      <w:r w:rsidRPr="009F6E4B">
        <w:rPr>
          <w:rFonts w:asciiTheme="minorHAnsi" w:hAnsiTheme="minorHAnsi" w:cstheme="minorHAnsi"/>
          <w:b/>
          <w:color w:val="auto"/>
          <w:sz w:val="20"/>
          <w:szCs w:val="20"/>
        </w:rPr>
        <w:t>7</w:t>
      </w:r>
      <w:r w:rsidR="007D1E76" w:rsidRPr="009F6E4B">
        <w:rPr>
          <w:rFonts w:asciiTheme="minorHAnsi" w:hAnsiTheme="minorHAnsi" w:cstheme="minorHAnsi"/>
          <w:b/>
          <w:color w:val="auto"/>
          <w:sz w:val="20"/>
          <w:szCs w:val="20"/>
        </w:rPr>
        <w:t xml:space="preserve">. </w:t>
      </w:r>
      <w:r w:rsidR="00E00323" w:rsidRPr="009F6E4B">
        <w:rPr>
          <w:rFonts w:asciiTheme="minorHAnsi" w:hAnsiTheme="minorHAnsi" w:cstheme="minorHAnsi"/>
          <w:b/>
          <w:color w:val="auto"/>
          <w:sz w:val="20"/>
          <w:szCs w:val="20"/>
        </w:rPr>
        <w:t>Reporte Analítico del Activo:</w:t>
      </w:r>
      <w:bookmarkEnd w:id="8"/>
    </w:p>
    <w:p w14:paraId="1C9AE80E" w14:textId="77777777" w:rsidR="007D1E76" w:rsidRPr="009F6E4B" w:rsidRDefault="007D1E76" w:rsidP="00CB41C4">
      <w:pPr>
        <w:tabs>
          <w:tab w:val="left" w:leader="underscore" w:pos="9639"/>
        </w:tabs>
        <w:spacing w:after="0" w:line="240" w:lineRule="auto"/>
        <w:jc w:val="both"/>
        <w:rPr>
          <w:rFonts w:cs="Calibri"/>
          <w:sz w:val="20"/>
          <w:szCs w:val="20"/>
        </w:rPr>
      </w:pPr>
    </w:p>
    <w:p w14:paraId="7DC51E13"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Debe mostrar la siguien</w:t>
      </w:r>
      <w:r w:rsidR="00E00323" w:rsidRPr="009F6E4B">
        <w:rPr>
          <w:rFonts w:cs="Calibri"/>
          <w:sz w:val="20"/>
          <w:szCs w:val="20"/>
        </w:rPr>
        <w:t>te información:</w:t>
      </w:r>
    </w:p>
    <w:p w14:paraId="0E1FB990" w14:textId="77777777" w:rsidR="007D1E76" w:rsidRPr="009F6E4B" w:rsidRDefault="007D1E76" w:rsidP="00CB41C4">
      <w:pPr>
        <w:tabs>
          <w:tab w:val="left" w:leader="underscore" w:pos="9639"/>
        </w:tabs>
        <w:spacing w:after="0" w:line="240" w:lineRule="auto"/>
        <w:jc w:val="both"/>
        <w:rPr>
          <w:rFonts w:cs="Calibri"/>
          <w:sz w:val="20"/>
          <w:szCs w:val="20"/>
        </w:rPr>
      </w:pPr>
    </w:p>
    <w:p w14:paraId="721E8A1F" w14:textId="09BA8E02"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a) </w:t>
      </w:r>
      <w:r w:rsidR="00ED7AA0" w:rsidRPr="009F6E4B">
        <w:rPr>
          <w:rFonts w:cs="Calibri"/>
          <w:b/>
          <w:sz w:val="20"/>
          <w:szCs w:val="20"/>
        </w:rPr>
        <w:t>Vida útil, porcentajes de depreciación y amortización utilizados en los diferentes tipos de activos, o el importe de las pérdidas por deterioro reconocidas</w:t>
      </w:r>
      <w:r w:rsidRPr="009F6E4B">
        <w:rPr>
          <w:rFonts w:cs="Calibri"/>
          <w:b/>
          <w:sz w:val="20"/>
          <w:szCs w:val="20"/>
        </w:rPr>
        <w:t>:</w:t>
      </w:r>
    </w:p>
    <w:p w14:paraId="0A4AD650" w14:textId="77777777" w:rsidR="0016736C" w:rsidRPr="009F6E4B" w:rsidRDefault="0016736C" w:rsidP="0016736C">
      <w:pPr>
        <w:spacing w:after="0"/>
        <w:jc w:val="both"/>
        <w:rPr>
          <w:rFonts w:eastAsia="Times New Roman" w:cs="Arial"/>
          <w:sz w:val="20"/>
          <w:szCs w:val="20"/>
        </w:rPr>
      </w:pPr>
    </w:p>
    <w:p w14:paraId="2B914A04" w14:textId="2632EA14" w:rsidR="007D1E76" w:rsidRPr="009F6E4B" w:rsidRDefault="0016736C" w:rsidP="0016736C">
      <w:pPr>
        <w:spacing w:after="0"/>
        <w:jc w:val="both"/>
        <w:rPr>
          <w:rFonts w:cs="Calibri"/>
          <w:sz w:val="20"/>
          <w:szCs w:val="20"/>
        </w:rPr>
      </w:pPr>
      <w:r w:rsidRPr="009F6E4B">
        <w:rPr>
          <w:rFonts w:eastAsia="Times New Roman" w:cs="Arial"/>
          <w:sz w:val="20"/>
          <w:szCs w:val="20"/>
        </w:rPr>
        <w:t>Esta nota se presenta en el reporte "Nota del Analítico de Activo"</w:t>
      </w:r>
    </w:p>
    <w:p w14:paraId="7C1AAB84" w14:textId="77777777" w:rsidR="0016736C" w:rsidRPr="009F6E4B" w:rsidRDefault="0016736C" w:rsidP="00CB41C4">
      <w:pPr>
        <w:tabs>
          <w:tab w:val="left" w:leader="underscore" w:pos="9639"/>
        </w:tabs>
        <w:spacing w:after="0" w:line="240" w:lineRule="auto"/>
        <w:jc w:val="both"/>
        <w:rPr>
          <w:rFonts w:cs="Calibri"/>
          <w:sz w:val="20"/>
          <w:szCs w:val="20"/>
        </w:rPr>
      </w:pPr>
    </w:p>
    <w:p w14:paraId="7FD13FA2" w14:textId="4685F103"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w:t>
      </w:r>
      <w:r w:rsidR="00AA2768" w:rsidRPr="009F6E4B">
        <w:rPr>
          <w:rFonts w:cs="Calibri"/>
          <w:b/>
          <w:sz w:val="20"/>
          <w:szCs w:val="20"/>
        </w:rPr>
        <w:t>Cambios en el porcentaje de depreciación y amortización y en el valor de los activos ocasionado por deterioro</w:t>
      </w:r>
      <w:r w:rsidRPr="009F6E4B">
        <w:rPr>
          <w:rFonts w:cs="Calibri"/>
          <w:b/>
          <w:sz w:val="20"/>
          <w:szCs w:val="20"/>
        </w:rPr>
        <w:t>:</w:t>
      </w:r>
    </w:p>
    <w:p w14:paraId="1983354C" w14:textId="26C7412A" w:rsidR="007D1E76" w:rsidRPr="009F6E4B" w:rsidRDefault="007D1E76" w:rsidP="00CB41C4">
      <w:pPr>
        <w:tabs>
          <w:tab w:val="left" w:leader="underscore" w:pos="9639"/>
        </w:tabs>
        <w:spacing w:after="0" w:line="240" w:lineRule="auto"/>
        <w:jc w:val="both"/>
        <w:rPr>
          <w:rFonts w:cs="Calibri"/>
          <w:sz w:val="20"/>
          <w:szCs w:val="20"/>
        </w:rPr>
      </w:pPr>
    </w:p>
    <w:p w14:paraId="451BB715" w14:textId="534B7DC4" w:rsidR="0016736C" w:rsidRPr="009F6E4B" w:rsidRDefault="0016736C" w:rsidP="00CB41C4">
      <w:pPr>
        <w:tabs>
          <w:tab w:val="left" w:leader="underscore" w:pos="9639"/>
        </w:tabs>
        <w:spacing w:after="0" w:line="240" w:lineRule="auto"/>
        <w:jc w:val="both"/>
        <w:rPr>
          <w:rFonts w:cs="Calibri"/>
          <w:sz w:val="20"/>
          <w:szCs w:val="20"/>
        </w:rPr>
      </w:pPr>
      <w:r w:rsidRPr="009F6E4B">
        <w:rPr>
          <w:rFonts w:eastAsia="Times New Roman" w:cs="Arial"/>
          <w:sz w:val="20"/>
          <w:szCs w:val="20"/>
        </w:rPr>
        <w:t>Esta nota se presenta en el reporte "Nota del Analítico de Activo"</w:t>
      </w:r>
    </w:p>
    <w:p w14:paraId="59A0596F" w14:textId="77777777" w:rsidR="007D1E76" w:rsidRPr="009F6E4B" w:rsidRDefault="007D1E76" w:rsidP="00CB41C4">
      <w:pPr>
        <w:tabs>
          <w:tab w:val="left" w:leader="underscore" w:pos="9639"/>
        </w:tabs>
        <w:spacing w:after="0" w:line="240" w:lineRule="auto"/>
        <w:jc w:val="both"/>
        <w:rPr>
          <w:rFonts w:cs="Calibri"/>
          <w:sz w:val="20"/>
          <w:szCs w:val="20"/>
        </w:rPr>
      </w:pPr>
    </w:p>
    <w:p w14:paraId="7793D35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Importe de los gastos capitalizados en el ejercicio, tanto financieros como de investigación y desarrollo:</w:t>
      </w:r>
    </w:p>
    <w:p w14:paraId="389FC7C1" w14:textId="77777777" w:rsidR="007D1E76" w:rsidRPr="009F6E4B" w:rsidRDefault="007D1E76" w:rsidP="00CB41C4">
      <w:pPr>
        <w:tabs>
          <w:tab w:val="left" w:leader="underscore" w:pos="9639"/>
        </w:tabs>
        <w:spacing w:after="0" w:line="240" w:lineRule="auto"/>
        <w:jc w:val="both"/>
        <w:rPr>
          <w:rFonts w:cs="Calibri"/>
          <w:sz w:val="20"/>
          <w:szCs w:val="20"/>
        </w:rPr>
      </w:pPr>
    </w:p>
    <w:p w14:paraId="6C413D16" w14:textId="596D52B4" w:rsidR="000F0656" w:rsidRPr="009F6E4B" w:rsidRDefault="000F0656" w:rsidP="000F0656">
      <w:pPr>
        <w:spacing w:after="0"/>
        <w:jc w:val="both"/>
        <w:rPr>
          <w:rFonts w:cs="Calibri"/>
          <w:b/>
          <w:sz w:val="20"/>
          <w:szCs w:val="20"/>
        </w:rPr>
      </w:pPr>
      <w:r w:rsidRPr="009F6E4B">
        <w:rPr>
          <w:rFonts w:eastAsia="Times New Roman" w:cs="Arial"/>
          <w:sz w:val="20"/>
          <w:szCs w:val="20"/>
        </w:rPr>
        <w:t xml:space="preserve">En este ejercicio no se han capitalizado gastos </w:t>
      </w:r>
      <w:r w:rsidRPr="009F6E4B">
        <w:rPr>
          <w:rFonts w:cs="Calibri"/>
          <w:sz w:val="20"/>
          <w:szCs w:val="20"/>
        </w:rPr>
        <w:t>financieros de investigación y desarrollo</w:t>
      </w:r>
      <w:r w:rsidRPr="009F6E4B">
        <w:rPr>
          <w:rFonts w:eastAsia="Times New Roman" w:cs="Arial"/>
          <w:sz w:val="20"/>
          <w:szCs w:val="20"/>
        </w:rPr>
        <w:t>.</w:t>
      </w:r>
    </w:p>
    <w:p w14:paraId="27471018" w14:textId="77777777" w:rsidR="000F0656" w:rsidRPr="009F6E4B" w:rsidRDefault="000F0656" w:rsidP="00CB41C4">
      <w:pPr>
        <w:tabs>
          <w:tab w:val="left" w:leader="underscore" w:pos="9639"/>
        </w:tabs>
        <w:spacing w:after="0" w:line="240" w:lineRule="auto"/>
        <w:jc w:val="both"/>
        <w:rPr>
          <w:rFonts w:cs="Calibri"/>
          <w:sz w:val="20"/>
          <w:szCs w:val="20"/>
        </w:rPr>
      </w:pPr>
    </w:p>
    <w:p w14:paraId="64BF173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Rie</w:t>
      </w:r>
      <w:r w:rsidR="001973A2" w:rsidRPr="009F6E4B">
        <w:rPr>
          <w:rFonts w:cs="Calibri"/>
          <w:b/>
          <w:sz w:val="20"/>
          <w:szCs w:val="20"/>
        </w:rPr>
        <w:t>s</w:t>
      </w:r>
      <w:r w:rsidRPr="009F6E4B">
        <w:rPr>
          <w:rFonts w:cs="Calibri"/>
          <w:b/>
          <w:sz w:val="20"/>
          <w:szCs w:val="20"/>
        </w:rPr>
        <w:t>gos por tipo de cambio o tipo de interés de las inversiones financieras:</w:t>
      </w:r>
    </w:p>
    <w:p w14:paraId="6C7DF781" w14:textId="77777777" w:rsidR="000F0656" w:rsidRPr="009F6E4B" w:rsidRDefault="000F0656" w:rsidP="000F0656">
      <w:pPr>
        <w:spacing w:after="0"/>
        <w:jc w:val="both"/>
        <w:rPr>
          <w:rFonts w:eastAsia="Times New Roman" w:cs="Arial"/>
          <w:sz w:val="20"/>
          <w:szCs w:val="20"/>
        </w:rPr>
      </w:pPr>
    </w:p>
    <w:p w14:paraId="77EA2442" w14:textId="77777777" w:rsidR="000F0656" w:rsidRPr="009F6E4B" w:rsidRDefault="000F0656" w:rsidP="000F0656">
      <w:pPr>
        <w:spacing w:after="0"/>
        <w:jc w:val="both"/>
        <w:rPr>
          <w:rFonts w:cs="Calibri"/>
          <w:sz w:val="20"/>
          <w:szCs w:val="20"/>
        </w:rPr>
      </w:pPr>
      <w:r w:rsidRPr="009F6E4B">
        <w:rPr>
          <w:rFonts w:eastAsia="Times New Roman" w:cs="Arial"/>
          <w:sz w:val="20"/>
          <w:szCs w:val="20"/>
        </w:rPr>
        <w:t xml:space="preserve">No se tienen riesgos por tipo de cambio o tipo de interés en las inversiones del municipio. </w:t>
      </w:r>
    </w:p>
    <w:p w14:paraId="378CEFB3" w14:textId="77777777" w:rsidR="000F0656" w:rsidRPr="009F6E4B" w:rsidRDefault="000F0656" w:rsidP="00CB41C4">
      <w:pPr>
        <w:tabs>
          <w:tab w:val="left" w:leader="underscore" w:pos="9639"/>
        </w:tabs>
        <w:spacing w:after="0" w:line="240" w:lineRule="auto"/>
        <w:jc w:val="both"/>
        <w:rPr>
          <w:rFonts w:cs="Calibri"/>
          <w:b/>
          <w:sz w:val="20"/>
          <w:szCs w:val="20"/>
        </w:rPr>
      </w:pPr>
    </w:p>
    <w:p w14:paraId="114D8167"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e) Valor activado en el ejercicio de los bienes construidos por la entidad:</w:t>
      </w:r>
    </w:p>
    <w:p w14:paraId="2E17CB0A" w14:textId="77777777" w:rsidR="007D1E76" w:rsidRPr="009F6E4B" w:rsidRDefault="007D1E76" w:rsidP="00CB41C4">
      <w:pPr>
        <w:tabs>
          <w:tab w:val="left" w:leader="underscore" w:pos="9639"/>
        </w:tabs>
        <w:spacing w:after="0" w:line="240" w:lineRule="auto"/>
        <w:jc w:val="both"/>
        <w:rPr>
          <w:rFonts w:cs="Calibri"/>
          <w:b/>
          <w:sz w:val="20"/>
          <w:szCs w:val="20"/>
        </w:rPr>
      </w:pPr>
    </w:p>
    <w:p w14:paraId="07FDE63B" w14:textId="77777777" w:rsidR="000F0656" w:rsidRPr="009F6E4B" w:rsidRDefault="000F0656" w:rsidP="000F0656">
      <w:pPr>
        <w:spacing w:after="0"/>
        <w:jc w:val="both"/>
        <w:rPr>
          <w:rFonts w:cs="Calibri"/>
          <w:b/>
          <w:sz w:val="20"/>
          <w:szCs w:val="20"/>
        </w:rPr>
      </w:pPr>
      <w:r w:rsidRPr="009F6E4B">
        <w:rPr>
          <w:rFonts w:eastAsia="Times New Roman" w:cs="Arial"/>
          <w:sz w:val="20"/>
          <w:szCs w:val="20"/>
        </w:rPr>
        <w:t>Esta nota no le aplica al municipio.</w:t>
      </w:r>
    </w:p>
    <w:p w14:paraId="5351E653" w14:textId="77777777" w:rsidR="000F0656" w:rsidRPr="009F6E4B" w:rsidRDefault="000F0656" w:rsidP="00CB41C4">
      <w:pPr>
        <w:tabs>
          <w:tab w:val="left" w:leader="underscore" w:pos="9639"/>
        </w:tabs>
        <w:spacing w:after="0" w:line="240" w:lineRule="auto"/>
        <w:jc w:val="both"/>
        <w:rPr>
          <w:rFonts w:cs="Calibri"/>
          <w:b/>
          <w:sz w:val="20"/>
          <w:szCs w:val="20"/>
        </w:rPr>
      </w:pPr>
    </w:p>
    <w:p w14:paraId="61D4FD0C"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9F6E4B" w:rsidRDefault="007D1E76" w:rsidP="00CB41C4">
      <w:pPr>
        <w:tabs>
          <w:tab w:val="left" w:leader="underscore" w:pos="9639"/>
        </w:tabs>
        <w:spacing w:after="0" w:line="240" w:lineRule="auto"/>
        <w:jc w:val="both"/>
        <w:rPr>
          <w:rFonts w:cs="Calibri"/>
          <w:sz w:val="20"/>
          <w:szCs w:val="20"/>
        </w:rPr>
      </w:pPr>
    </w:p>
    <w:p w14:paraId="2FDE6A1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cuenta con otras circunstancias que afecten el activo del municipio.</w:t>
      </w:r>
    </w:p>
    <w:p w14:paraId="20E72A8C" w14:textId="77777777" w:rsidR="006A65AB" w:rsidRPr="009F6E4B" w:rsidRDefault="006A65AB" w:rsidP="00CB41C4">
      <w:pPr>
        <w:tabs>
          <w:tab w:val="left" w:leader="underscore" w:pos="9639"/>
        </w:tabs>
        <w:spacing w:after="0" w:line="240" w:lineRule="auto"/>
        <w:jc w:val="both"/>
        <w:rPr>
          <w:rFonts w:cs="Calibri"/>
          <w:b/>
          <w:sz w:val="20"/>
          <w:szCs w:val="20"/>
        </w:rPr>
      </w:pPr>
    </w:p>
    <w:p w14:paraId="5B1593C0" w14:textId="23377098"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g) Desmantelamiento de Activos, procedimientos, implicaciones, efectos contables:</w:t>
      </w:r>
    </w:p>
    <w:p w14:paraId="40A5560A" w14:textId="77777777" w:rsidR="000F0656" w:rsidRPr="009F6E4B" w:rsidRDefault="000F0656" w:rsidP="000F0656">
      <w:pPr>
        <w:spacing w:after="0"/>
        <w:jc w:val="both"/>
        <w:rPr>
          <w:rFonts w:eastAsia="Times New Roman" w:cs="Arial"/>
          <w:sz w:val="20"/>
          <w:szCs w:val="20"/>
        </w:rPr>
      </w:pPr>
    </w:p>
    <w:p w14:paraId="0804F12F" w14:textId="77777777" w:rsidR="000F0656" w:rsidRPr="009F6E4B" w:rsidRDefault="000F0656" w:rsidP="000F0656">
      <w:pPr>
        <w:spacing w:after="0"/>
        <w:jc w:val="both"/>
        <w:rPr>
          <w:rFonts w:cs="Calibri"/>
          <w:sz w:val="20"/>
          <w:szCs w:val="20"/>
        </w:rPr>
      </w:pPr>
      <w:r w:rsidRPr="009F6E4B">
        <w:rPr>
          <w:rFonts w:eastAsia="Times New Roman" w:cs="Arial"/>
          <w:sz w:val="20"/>
          <w:szCs w:val="20"/>
        </w:rPr>
        <w:t>En el periodo no se desmantelaron activos, con implicaciones o efectos contables propiedad del municipio.</w:t>
      </w:r>
    </w:p>
    <w:p w14:paraId="368ADB1E" w14:textId="77777777" w:rsidR="000F0656" w:rsidRPr="009F6E4B" w:rsidRDefault="000F0656" w:rsidP="00CB41C4">
      <w:pPr>
        <w:tabs>
          <w:tab w:val="left" w:leader="underscore" w:pos="9639"/>
        </w:tabs>
        <w:spacing w:after="0" w:line="240" w:lineRule="auto"/>
        <w:jc w:val="both"/>
        <w:rPr>
          <w:rFonts w:cs="Calibri"/>
          <w:b/>
          <w:sz w:val="20"/>
          <w:szCs w:val="20"/>
        </w:rPr>
      </w:pPr>
    </w:p>
    <w:p w14:paraId="6543D74F"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h) Administración de activos; planeación con el objetivo de que el ente los utilice de manera más efectiva:</w:t>
      </w:r>
    </w:p>
    <w:p w14:paraId="78C27F78" w14:textId="77777777" w:rsidR="000F0656" w:rsidRPr="009F6E4B" w:rsidRDefault="000F0656" w:rsidP="000F0656">
      <w:pPr>
        <w:spacing w:after="0"/>
        <w:jc w:val="both"/>
        <w:rPr>
          <w:rFonts w:eastAsia="Times New Roman" w:cs="Arial"/>
          <w:sz w:val="20"/>
          <w:szCs w:val="20"/>
        </w:rPr>
      </w:pPr>
    </w:p>
    <w:p w14:paraId="6B60B9BD" w14:textId="77777777" w:rsidR="000F0656" w:rsidRPr="009F6E4B" w:rsidRDefault="000F0656" w:rsidP="000F0656">
      <w:pPr>
        <w:spacing w:after="0"/>
        <w:jc w:val="both"/>
        <w:rPr>
          <w:rFonts w:eastAsia="Times New Roman" w:cs="Arial"/>
          <w:sz w:val="20"/>
          <w:szCs w:val="20"/>
        </w:rPr>
      </w:pPr>
      <w:r w:rsidRPr="009F6E4B">
        <w:rPr>
          <w:rFonts w:eastAsia="Times New Roman" w:cs="Arial"/>
          <w:sz w:val="20"/>
          <w:szCs w:val="20"/>
        </w:rPr>
        <w:t>La Coordinación de Control Patrimonial, emite los resguardos correspondientes, realiza un inventario físico de los bienes muebles propiedad del municipio una vez al año.</w:t>
      </w:r>
    </w:p>
    <w:p w14:paraId="76A7ECE1" w14:textId="0E18E047" w:rsidR="007D1E76" w:rsidRPr="009F6E4B" w:rsidRDefault="007D1E76" w:rsidP="00CB41C4">
      <w:pPr>
        <w:tabs>
          <w:tab w:val="left" w:leader="underscore" w:pos="9639"/>
        </w:tabs>
        <w:spacing w:after="0" w:line="240" w:lineRule="auto"/>
        <w:jc w:val="both"/>
        <w:rPr>
          <w:rFonts w:cs="Calibri"/>
          <w:sz w:val="20"/>
          <w:szCs w:val="20"/>
        </w:rPr>
      </w:pPr>
    </w:p>
    <w:p w14:paraId="1F344FA6"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Adicionalmente, se deben incluir las explicaciones de las principales variaciones en el activo, en cua</w:t>
      </w:r>
      <w:r w:rsidR="005E231E" w:rsidRPr="009F6E4B">
        <w:rPr>
          <w:rFonts w:cs="Calibri"/>
          <w:sz w:val="20"/>
          <w:szCs w:val="20"/>
        </w:rPr>
        <w:t>dros comparativos como sigue:</w:t>
      </w:r>
    </w:p>
    <w:p w14:paraId="34E04F66" w14:textId="77777777" w:rsidR="007D1E76" w:rsidRPr="009F6E4B" w:rsidRDefault="007D1E76" w:rsidP="00CB41C4">
      <w:pPr>
        <w:tabs>
          <w:tab w:val="left" w:leader="underscore" w:pos="9639"/>
        </w:tabs>
        <w:spacing w:after="0" w:line="240" w:lineRule="auto"/>
        <w:jc w:val="both"/>
        <w:rPr>
          <w:rFonts w:cs="Calibri"/>
          <w:sz w:val="20"/>
          <w:szCs w:val="20"/>
        </w:rPr>
      </w:pPr>
    </w:p>
    <w:p w14:paraId="1C52C97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Inversiones en valores:</w:t>
      </w:r>
    </w:p>
    <w:p w14:paraId="002BBDF9" w14:textId="77777777" w:rsidR="000F0656" w:rsidRPr="009F6E4B" w:rsidRDefault="000F0656" w:rsidP="000F0656">
      <w:pPr>
        <w:spacing w:after="0"/>
        <w:jc w:val="both"/>
        <w:rPr>
          <w:rFonts w:eastAsia="Times New Roman" w:cs="Arial"/>
          <w:sz w:val="20"/>
          <w:szCs w:val="20"/>
        </w:rPr>
      </w:pPr>
    </w:p>
    <w:p w14:paraId="34F6EE96" w14:textId="77777777" w:rsidR="000F0656" w:rsidRPr="009F6E4B" w:rsidRDefault="000F0656" w:rsidP="000F0656">
      <w:pPr>
        <w:spacing w:after="0"/>
        <w:jc w:val="both"/>
        <w:rPr>
          <w:rFonts w:cs="Calibri"/>
          <w:sz w:val="20"/>
          <w:szCs w:val="20"/>
        </w:rPr>
      </w:pPr>
      <w:r w:rsidRPr="009F6E4B">
        <w:rPr>
          <w:rFonts w:eastAsia="Times New Roman" w:cs="Arial"/>
          <w:sz w:val="20"/>
          <w:szCs w:val="20"/>
        </w:rPr>
        <w:t xml:space="preserve">No se tienen inversiones en valores. </w:t>
      </w:r>
    </w:p>
    <w:p w14:paraId="47FAE4D3" w14:textId="77777777" w:rsidR="007D1E76" w:rsidRPr="009F6E4B" w:rsidRDefault="007D1E76" w:rsidP="00CB41C4">
      <w:pPr>
        <w:tabs>
          <w:tab w:val="left" w:leader="underscore" w:pos="9639"/>
        </w:tabs>
        <w:spacing w:after="0" w:line="240" w:lineRule="auto"/>
        <w:jc w:val="both"/>
        <w:rPr>
          <w:rFonts w:cs="Calibri"/>
          <w:sz w:val="20"/>
          <w:szCs w:val="20"/>
        </w:rPr>
      </w:pPr>
    </w:p>
    <w:p w14:paraId="7F294F69" w14:textId="7D9621E6"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b) Patrimonio de Organismos </w:t>
      </w:r>
      <w:r w:rsidR="00B073DE" w:rsidRPr="009F6E4B">
        <w:rPr>
          <w:rFonts w:cs="Calibri"/>
          <w:b/>
          <w:sz w:val="20"/>
          <w:szCs w:val="20"/>
        </w:rPr>
        <w:t>D</w:t>
      </w:r>
      <w:r w:rsidRPr="009F6E4B">
        <w:rPr>
          <w:rFonts w:cs="Calibri"/>
          <w:b/>
          <w:sz w:val="20"/>
          <w:szCs w:val="20"/>
        </w:rPr>
        <w:t>escentralizados de Control Presupuestario Indirecto:</w:t>
      </w:r>
    </w:p>
    <w:p w14:paraId="2CF9F431" w14:textId="77777777" w:rsidR="000F0656" w:rsidRPr="009F6E4B" w:rsidRDefault="000F0656" w:rsidP="000F0656">
      <w:pPr>
        <w:spacing w:after="0"/>
        <w:jc w:val="both"/>
        <w:rPr>
          <w:rFonts w:eastAsia="Times New Roman" w:cs="Arial"/>
          <w:sz w:val="20"/>
          <w:szCs w:val="20"/>
        </w:rPr>
      </w:pPr>
    </w:p>
    <w:p w14:paraId="579FEAA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 el control presupuestario directo de patrimonio de organismos descentralizados.</w:t>
      </w:r>
    </w:p>
    <w:p w14:paraId="7F76C39C" w14:textId="77777777" w:rsidR="007D1E76" w:rsidRPr="009F6E4B" w:rsidRDefault="007D1E76" w:rsidP="00CB41C4">
      <w:pPr>
        <w:tabs>
          <w:tab w:val="left" w:leader="underscore" w:pos="9639"/>
        </w:tabs>
        <w:spacing w:after="0" w:line="240" w:lineRule="auto"/>
        <w:jc w:val="both"/>
        <w:rPr>
          <w:rFonts w:cs="Calibri"/>
          <w:sz w:val="20"/>
          <w:szCs w:val="20"/>
        </w:rPr>
      </w:pPr>
    </w:p>
    <w:p w14:paraId="0A3B41EB"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c) Inversiones en empresas de participación mayoritaria:</w:t>
      </w:r>
    </w:p>
    <w:p w14:paraId="438427FE" w14:textId="77777777" w:rsidR="000F0656" w:rsidRPr="009F6E4B" w:rsidRDefault="000F0656" w:rsidP="000F0656">
      <w:pPr>
        <w:spacing w:after="0"/>
        <w:jc w:val="both"/>
        <w:rPr>
          <w:rFonts w:eastAsia="Times New Roman" w:cs="Arial"/>
          <w:sz w:val="20"/>
          <w:szCs w:val="20"/>
        </w:rPr>
      </w:pPr>
    </w:p>
    <w:p w14:paraId="5428FD24"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tienen inversiones en empresas de participación mayoritaria.</w:t>
      </w:r>
    </w:p>
    <w:p w14:paraId="5F9218F7" w14:textId="77777777" w:rsidR="007D1E76" w:rsidRPr="009F6E4B" w:rsidRDefault="007D1E76" w:rsidP="00CB41C4">
      <w:pPr>
        <w:tabs>
          <w:tab w:val="left" w:leader="underscore" w:pos="9639"/>
        </w:tabs>
        <w:spacing w:after="0" w:line="240" w:lineRule="auto"/>
        <w:jc w:val="both"/>
        <w:rPr>
          <w:rFonts w:cs="Calibri"/>
          <w:sz w:val="20"/>
          <w:szCs w:val="20"/>
        </w:rPr>
      </w:pPr>
    </w:p>
    <w:p w14:paraId="02D4B80A"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d) Inversiones en empresas de participación minoritaria:</w:t>
      </w:r>
    </w:p>
    <w:p w14:paraId="54EEEB64" w14:textId="77777777" w:rsidR="000F0656" w:rsidRPr="009F6E4B" w:rsidRDefault="000F0656" w:rsidP="000F0656">
      <w:pPr>
        <w:spacing w:after="0"/>
        <w:jc w:val="both"/>
        <w:rPr>
          <w:rFonts w:eastAsia="Times New Roman" w:cs="Arial"/>
          <w:sz w:val="20"/>
          <w:szCs w:val="20"/>
        </w:rPr>
      </w:pPr>
    </w:p>
    <w:p w14:paraId="37ABCD47" w14:textId="77777777" w:rsidR="000F0656" w:rsidRPr="009F6E4B" w:rsidRDefault="000F0656" w:rsidP="000F0656">
      <w:pPr>
        <w:spacing w:after="0"/>
        <w:jc w:val="both"/>
        <w:rPr>
          <w:rFonts w:cs="Calibri"/>
          <w:sz w:val="20"/>
          <w:szCs w:val="20"/>
        </w:rPr>
      </w:pPr>
      <w:r w:rsidRPr="009F6E4B">
        <w:rPr>
          <w:rFonts w:eastAsia="Times New Roman" w:cs="Arial"/>
          <w:sz w:val="20"/>
          <w:szCs w:val="20"/>
        </w:rPr>
        <w:t>No se tienen inversiones en empresas de participación minoritaria.</w:t>
      </w:r>
    </w:p>
    <w:p w14:paraId="199F0C37" w14:textId="77777777" w:rsidR="007D1E76" w:rsidRPr="009F6E4B" w:rsidRDefault="007D1E76" w:rsidP="00CB41C4">
      <w:pPr>
        <w:tabs>
          <w:tab w:val="left" w:leader="underscore" w:pos="9639"/>
        </w:tabs>
        <w:spacing w:after="0" w:line="240" w:lineRule="auto"/>
        <w:jc w:val="both"/>
        <w:rPr>
          <w:rFonts w:cs="Calibri"/>
          <w:sz w:val="20"/>
          <w:szCs w:val="20"/>
        </w:rPr>
      </w:pPr>
    </w:p>
    <w:p w14:paraId="05A46BBB" w14:textId="01E8D72B"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 xml:space="preserve">e) Patrimonio de </w:t>
      </w:r>
      <w:r w:rsidR="006B1ADF" w:rsidRPr="009F6E4B">
        <w:rPr>
          <w:rFonts w:cs="Calibri"/>
          <w:b/>
          <w:sz w:val="20"/>
          <w:szCs w:val="20"/>
        </w:rPr>
        <w:t>O</w:t>
      </w:r>
      <w:r w:rsidRPr="009F6E4B">
        <w:rPr>
          <w:rFonts w:cs="Calibri"/>
          <w:b/>
          <w:sz w:val="20"/>
          <w:szCs w:val="20"/>
        </w:rPr>
        <w:t xml:space="preserve">rganismos </w:t>
      </w:r>
      <w:r w:rsidR="006B1ADF" w:rsidRPr="009F6E4B">
        <w:rPr>
          <w:rFonts w:cs="Calibri"/>
          <w:b/>
          <w:sz w:val="20"/>
          <w:szCs w:val="20"/>
        </w:rPr>
        <w:t>D</w:t>
      </w:r>
      <w:r w:rsidRPr="009F6E4B">
        <w:rPr>
          <w:rFonts w:cs="Calibri"/>
          <w:b/>
          <w:sz w:val="20"/>
          <w:szCs w:val="20"/>
        </w:rPr>
        <w:t xml:space="preserve">escentralizados de control </w:t>
      </w:r>
      <w:r w:rsidR="006B1ADF" w:rsidRPr="009F6E4B">
        <w:rPr>
          <w:rFonts w:cs="Calibri"/>
          <w:b/>
          <w:sz w:val="20"/>
          <w:szCs w:val="20"/>
        </w:rPr>
        <w:t>P</w:t>
      </w:r>
      <w:r w:rsidRPr="009F6E4B">
        <w:rPr>
          <w:rFonts w:cs="Calibri"/>
          <w:b/>
          <w:sz w:val="20"/>
          <w:szCs w:val="20"/>
        </w:rPr>
        <w:t xml:space="preserve">resupuestario </w:t>
      </w:r>
      <w:r w:rsidR="006B1ADF" w:rsidRPr="009F6E4B">
        <w:rPr>
          <w:rFonts w:cs="Calibri"/>
          <w:b/>
          <w:sz w:val="20"/>
          <w:szCs w:val="20"/>
        </w:rPr>
        <w:t>D</w:t>
      </w:r>
      <w:r w:rsidRPr="009F6E4B">
        <w:rPr>
          <w:rFonts w:cs="Calibri"/>
          <w:b/>
          <w:sz w:val="20"/>
          <w:szCs w:val="20"/>
        </w:rPr>
        <w:t>irecto, según corresponda:</w:t>
      </w:r>
    </w:p>
    <w:p w14:paraId="0FAB857B" w14:textId="77777777" w:rsidR="000F0656" w:rsidRPr="009F6E4B" w:rsidRDefault="000F0656" w:rsidP="000F0656">
      <w:pPr>
        <w:spacing w:after="0"/>
        <w:jc w:val="both"/>
        <w:rPr>
          <w:rFonts w:eastAsia="Times New Roman" w:cs="Arial"/>
          <w:sz w:val="20"/>
          <w:szCs w:val="20"/>
        </w:rPr>
      </w:pPr>
    </w:p>
    <w:p w14:paraId="646DCD66" w14:textId="09A917CD" w:rsidR="00E16610" w:rsidRPr="009F6E4B" w:rsidRDefault="000F0656" w:rsidP="00B61F45">
      <w:pPr>
        <w:spacing w:after="0"/>
        <w:jc w:val="both"/>
        <w:rPr>
          <w:rFonts w:cs="Calibri"/>
          <w:sz w:val="20"/>
          <w:szCs w:val="20"/>
        </w:rPr>
      </w:pPr>
      <w:r w:rsidRPr="009F6E4B">
        <w:rPr>
          <w:rFonts w:eastAsia="Times New Roman" w:cs="Arial"/>
          <w:sz w:val="20"/>
          <w:szCs w:val="20"/>
        </w:rPr>
        <w:t>No se tiene el control presupuestario directo de patrimonio de organismos descentralizados.</w:t>
      </w:r>
    </w:p>
    <w:p w14:paraId="513A1948" w14:textId="77777777" w:rsidR="006A65AB" w:rsidRPr="009F6E4B" w:rsidRDefault="006A65AB" w:rsidP="000C3365">
      <w:pPr>
        <w:pStyle w:val="Ttulo2"/>
        <w:rPr>
          <w:rFonts w:asciiTheme="minorHAnsi" w:hAnsiTheme="minorHAnsi" w:cstheme="minorHAnsi"/>
          <w:b/>
          <w:color w:val="auto"/>
          <w:sz w:val="20"/>
          <w:szCs w:val="20"/>
        </w:rPr>
      </w:pPr>
    </w:p>
    <w:p w14:paraId="2D957F4B" w14:textId="162980AD" w:rsidR="007D1E76" w:rsidRPr="009F6E4B" w:rsidRDefault="002722DD" w:rsidP="000C3365">
      <w:pPr>
        <w:pStyle w:val="Ttulo2"/>
        <w:rPr>
          <w:rFonts w:asciiTheme="minorHAnsi" w:hAnsiTheme="minorHAnsi" w:cstheme="minorHAnsi"/>
          <w:b/>
          <w:color w:val="auto"/>
          <w:sz w:val="20"/>
          <w:szCs w:val="20"/>
        </w:rPr>
      </w:pPr>
      <w:bookmarkStart w:id="9" w:name="_Toc227665765"/>
      <w:r w:rsidRPr="009F6E4B">
        <w:rPr>
          <w:rFonts w:asciiTheme="minorHAnsi" w:hAnsiTheme="minorHAnsi" w:cstheme="minorHAnsi"/>
          <w:b/>
          <w:color w:val="auto"/>
          <w:sz w:val="20"/>
          <w:szCs w:val="20"/>
        </w:rPr>
        <w:t>8</w:t>
      </w:r>
      <w:r w:rsidR="007D1E76" w:rsidRPr="009F6E4B">
        <w:rPr>
          <w:rFonts w:asciiTheme="minorHAnsi" w:hAnsiTheme="minorHAnsi" w:cstheme="minorHAnsi"/>
          <w:b/>
          <w:color w:val="auto"/>
          <w:sz w:val="20"/>
          <w:szCs w:val="20"/>
        </w:rPr>
        <w:t>. Fidei</w:t>
      </w:r>
      <w:r w:rsidR="005E231E" w:rsidRPr="009F6E4B">
        <w:rPr>
          <w:rFonts w:asciiTheme="minorHAnsi" w:hAnsiTheme="minorHAnsi" w:cstheme="minorHAnsi"/>
          <w:b/>
          <w:color w:val="auto"/>
          <w:sz w:val="20"/>
          <w:szCs w:val="20"/>
        </w:rPr>
        <w:t>comisos, Mandatos y Análogos:</w:t>
      </w:r>
      <w:bookmarkEnd w:id="9"/>
    </w:p>
    <w:p w14:paraId="5B412C86" w14:textId="77777777" w:rsidR="007D1E76" w:rsidRPr="009F6E4B" w:rsidRDefault="007D1E76" w:rsidP="00CB41C4">
      <w:pPr>
        <w:tabs>
          <w:tab w:val="left" w:leader="underscore" w:pos="9639"/>
        </w:tabs>
        <w:spacing w:after="0" w:line="240" w:lineRule="auto"/>
        <w:jc w:val="both"/>
        <w:rPr>
          <w:rFonts w:cs="Calibri"/>
          <w:sz w:val="20"/>
          <w:szCs w:val="20"/>
        </w:rPr>
      </w:pPr>
    </w:p>
    <w:p w14:paraId="6E55E71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deberá informar:</w:t>
      </w:r>
    </w:p>
    <w:p w14:paraId="708E87EF" w14:textId="77777777" w:rsidR="007D1E76" w:rsidRPr="009F6E4B" w:rsidRDefault="007D1E76" w:rsidP="00CB41C4">
      <w:pPr>
        <w:tabs>
          <w:tab w:val="left" w:leader="underscore" w:pos="9639"/>
        </w:tabs>
        <w:spacing w:after="0" w:line="240" w:lineRule="auto"/>
        <w:jc w:val="both"/>
        <w:rPr>
          <w:rFonts w:cs="Calibri"/>
          <w:sz w:val="20"/>
          <w:szCs w:val="20"/>
        </w:rPr>
      </w:pPr>
    </w:p>
    <w:p w14:paraId="2701D95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Por ramo administrativo que los reporta:</w:t>
      </w:r>
    </w:p>
    <w:p w14:paraId="7D5069C6" w14:textId="77777777" w:rsidR="000F0656" w:rsidRPr="009F6E4B" w:rsidRDefault="000F0656" w:rsidP="000F0656">
      <w:pPr>
        <w:spacing w:after="0"/>
        <w:jc w:val="both"/>
        <w:rPr>
          <w:rFonts w:eastAsia="Times New Roman" w:cs="Arial"/>
          <w:sz w:val="20"/>
          <w:szCs w:val="20"/>
        </w:rPr>
      </w:pPr>
    </w:p>
    <w:p w14:paraId="4093B340" w14:textId="77777777" w:rsidR="000F0656" w:rsidRPr="009F6E4B" w:rsidRDefault="000F0656" w:rsidP="000F0656">
      <w:pPr>
        <w:spacing w:after="0"/>
        <w:jc w:val="both"/>
        <w:rPr>
          <w:rFonts w:cs="Calibri"/>
          <w:sz w:val="20"/>
          <w:szCs w:val="20"/>
        </w:rPr>
      </w:pPr>
      <w:r w:rsidRPr="009F6E4B">
        <w:rPr>
          <w:rFonts w:eastAsia="Times New Roman" w:cs="Arial"/>
          <w:sz w:val="20"/>
          <w:szCs w:val="20"/>
        </w:rPr>
        <w:t>Al periodo no se tienen Fideicomisos, mandatos y otros análogos.</w:t>
      </w:r>
    </w:p>
    <w:p w14:paraId="2010752E" w14:textId="77777777" w:rsidR="007D1E76" w:rsidRPr="009F6E4B" w:rsidRDefault="007D1E76" w:rsidP="00CB41C4">
      <w:pPr>
        <w:tabs>
          <w:tab w:val="left" w:leader="underscore" w:pos="9639"/>
        </w:tabs>
        <w:spacing w:after="0" w:line="240" w:lineRule="auto"/>
        <w:jc w:val="both"/>
        <w:rPr>
          <w:rFonts w:cs="Calibri"/>
          <w:sz w:val="20"/>
          <w:szCs w:val="20"/>
        </w:rPr>
      </w:pPr>
    </w:p>
    <w:p w14:paraId="326C2254"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Enlistar los de mayor monto de disponibilidad, relacionando aquéllos que conforman el 80% de las disponibilidades:</w:t>
      </w:r>
    </w:p>
    <w:p w14:paraId="3F999531" w14:textId="77777777" w:rsidR="000F0656" w:rsidRPr="009F6E4B" w:rsidRDefault="000F0656" w:rsidP="000F0656">
      <w:pPr>
        <w:spacing w:after="0"/>
        <w:jc w:val="both"/>
        <w:rPr>
          <w:rFonts w:eastAsia="Times New Roman" w:cs="Arial"/>
          <w:sz w:val="20"/>
          <w:szCs w:val="20"/>
        </w:rPr>
      </w:pPr>
    </w:p>
    <w:p w14:paraId="684BD0E3" w14:textId="77777777" w:rsidR="000F0656" w:rsidRPr="009F6E4B" w:rsidRDefault="000F0656" w:rsidP="000F0656">
      <w:pPr>
        <w:spacing w:after="0"/>
        <w:jc w:val="both"/>
        <w:rPr>
          <w:rFonts w:eastAsia="Times New Roman" w:cs="Arial"/>
          <w:sz w:val="20"/>
          <w:szCs w:val="20"/>
        </w:rPr>
      </w:pPr>
      <w:r w:rsidRPr="009F6E4B">
        <w:rPr>
          <w:rFonts w:eastAsia="Times New Roman" w:cs="Arial"/>
          <w:sz w:val="20"/>
          <w:szCs w:val="20"/>
        </w:rPr>
        <w:t>Al periodo no se tienen Fideicomisos, mandatos y otros análogos.</w:t>
      </w:r>
    </w:p>
    <w:p w14:paraId="5AE57259" w14:textId="77777777" w:rsidR="007D1E76" w:rsidRPr="009F6E4B" w:rsidRDefault="007D1E76" w:rsidP="00CB41C4">
      <w:pPr>
        <w:tabs>
          <w:tab w:val="left" w:leader="underscore" w:pos="9639"/>
        </w:tabs>
        <w:spacing w:after="0" w:line="240" w:lineRule="auto"/>
        <w:jc w:val="both"/>
        <w:rPr>
          <w:rFonts w:cs="Calibri"/>
          <w:sz w:val="20"/>
          <w:szCs w:val="20"/>
        </w:rPr>
      </w:pPr>
    </w:p>
    <w:p w14:paraId="2F60B1C6" w14:textId="47BAD216" w:rsidR="007D1E76" w:rsidRPr="009F6E4B" w:rsidRDefault="002722DD" w:rsidP="000C3365">
      <w:pPr>
        <w:pStyle w:val="Ttulo2"/>
        <w:rPr>
          <w:rFonts w:asciiTheme="minorHAnsi" w:hAnsiTheme="minorHAnsi" w:cstheme="minorHAnsi"/>
          <w:b/>
          <w:color w:val="auto"/>
          <w:sz w:val="20"/>
          <w:szCs w:val="20"/>
        </w:rPr>
      </w:pPr>
      <w:bookmarkStart w:id="10" w:name="_Toc227665766"/>
      <w:r w:rsidRPr="009F6E4B">
        <w:rPr>
          <w:rFonts w:asciiTheme="minorHAnsi" w:hAnsiTheme="minorHAnsi" w:cstheme="minorHAnsi"/>
          <w:b/>
          <w:color w:val="auto"/>
          <w:sz w:val="20"/>
          <w:szCs w:val="20"/>
        </w:rPr>
        <w:t>9</w:t>
      </w:r>
      <w:r w:rsidR="007D1E76" w:rsidRPr="009F6E4B">
        <w:rPr>
          <w:rFonts w:asciiTheme="minorHAnsi" w:hAnsiTheme="minorHAnsi" w:cstheme="minorHAnsi"/>
          <w:b/>
          <w:color w:val="auto"/>
          <w:sz w:val="20"/>
          <w:szCs w:val="20"/>
        </w:rPr>
        <w:t>. Reporte de la Recaudación:</w:t>
      </w:r>
      <w:bookmarkEnd w:id="10"/>
    </w:p>
    <w:p w14:paraId="2B90D2EC" w14:textId="77777777" w:rsidR="007D1E76" w:rsidRPr="009F6E4B" w:rsidRDefault="007D1E76" w:rsidP="00CB41C4">
      <w:pPr>
        <w:tabs>
          <w:tab w:val="left" w:leader="underscore" w:pos="9639"/>
        </w:tabs>
        <w:spacing w:after="0" w:line="240" w:lineRule="auto"/>
        <w:jc w:val="both"/>
        <w:rPr>
          <w:rFonts w:cs="Calibri"/>
          <w:sz w:val="20"/>
          <w:szCs w:val="20"/>
        </w:rPr>
      </w:pPr>
    </w:p>
    <w:p w14:paraId="3F6257DB" w14:textId="00518F1A" w:rsidR="001E1EDE" w:rsidRDefault="007D1E76" w:rsidP="00BB7FDF">
      <w:pPr>
        <w:pStyle w:val="Prrafodelista"/>
        <w:numPr>
          <w:ilvl w:val="0"/>
          <w:numId w:val="2"/>
        </w:numPr>
        <w:tabs>
          <w:tab w:val="left" w:leader="underscore" w:pos="9639"/>
        </w:tabs>
        <w:spacing w:after="0" w:line="240" w:lineRule="auto"/>
        <w:jc w:val="both"/>
        <w:rPr>
          <w:rFonts w:cs="Calibri"/>
          <w:sz w:val="20"/>
          <w:szCs w:val="20"/>
        </w:rPr>
      </w:pPr>
      <w:r w:rsidRPr="009F6E4B">
        <w:rPr>
          <w:rFonts w:cs="Calibri"/>
          <w:sz w:val="20"/>
          <w:szCs w:val="20"/>
        </w:rPr>
        <w:t>Análisis del comportamiento de la recaudación correspondiente al ente público o cualquier tipo de ingreso, de forma separada los ingresos locales de los federales:</w:t>
      </w:r>
    </w:p>
    <w:p w14:paraId="7B1B191F" w14:textId="77777777" w:rsidR="00D06A73" w:rsidRPr="009F6E4B" w:rsidRDefault="00D06A73" w:rsidP="00D06A73">
      <w:pPr>
        <w:pStyle w:val="Prrafodelista"/>
        <w:tabs>
          <w:tab w:val="left" w:leader="underscore" w:pos="9639"/>
        </w:tabs>
        <w:spacing w:after="0" w:line="240" w:lineRule="auto"/>
        <w:jc w:val="both"/>
        <w:rPr>
          <w:rFonts w:cs="Calibri"/>
          <w:sz w:val="20"/>
          <w:szCs w:val="20"/>
        </w:rPr>
      </w:pPr>
    </w:p>
    <w:tbl>
      <w:tblPr>
        <w:tblW w:w="5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0"/>
        <w:gridCol w:w="2560"/>
      </w:tblGrid>
      <w:tr w:rsidR="00910ABC" w:rsidRPr="00910ABC" w14:paraId="3AFFC6F2" w14:textId="77777777" w:rsidTr="00E14820">
        <w:trPr>
          <w:trHeight w:val="465"/>
          <w:jc w:val="center"/>
        </w:trPr>
        <w:tc>
          <w:tcPr>
            <w:tcW w:w="5740" w:type="dxa"/>
            <w:gridSpan w:val="2"/>
            <w:shd w:val="clear" w:color="auto" w:fill="002060"/>
            <w:vAlign w:val="center"/>
            <w:hideMark/>
          </w:tcPr>
          <w:p w14:paraId="02135711" w14:textId="77777777" w:rsidR="00910ABC" w:rsidRPr="00910ABC" w:rsidRDefault="00910ABC" w:rsidP="00910ABC">
            <w:pPr>
              <w:spacing w:after="0" w:line="240" w:lineRule="auto"/>
              <w:jc w:val="center"/>
              <w:rPr>
                <w:rFonts w:ascii="Arial" w:eastAsia="Times New Roman" w:hAnsi="Arial" w:cs="Arial"/>
                <w:b/>
                <w:bCs/>
                <w:color w:val="FFFFFF"/>
                <w:sz w:val="16"/>
                <w:szCs w:val="16"/>
                <w:lang w:eastAsia="es-MX"/>
              </w:rPr>
            </w:pPr>
            <w:r w:rsidRPr="00910ABC">
              <w:rPr>
                <w:rFonts w:ascii="Arial" w:eastAsia="Times New Roman" w:hAnsi="Arial" w:cs="Arial"/>
                <w:b/>
                <w:bCs/>
                <w:color w:val="FFFFFF"/>
                <w:sz w:val="16"/>
                <w:szCs w:val="16"/>
                <w:lang w:eastAsia="es-MX"/>
              </w:rPr>
              <w:t>REPORTE DE RECAUDACIÓN</w:t>
            </w:r>
          </w:p>
        </w:tc>
      </w:tr>
      <w:tr w:rsidR="00910ABC" w:rsidRPr="00910ABC" w14:paraId="0BB00BD6" w14:textId="77777777" w:rsidTr="00E14820">
        <w:trPr>
          <w:trHeight w:val="315"/>
          <w:jc w:val="center"/>
        </w:trPr>
        <w:tc>
          <w:tcPr>
            <w:tcW w:w="3180" w:type="dxa"/>
            <w:shd w:val="clear" w:color="auto" w:fill="auto"/>
            <w:vAlign w:val="center"/>
            <w:hideMark/>
          </w:tcPr>
          <w:p w14:paraId="01800C5C"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IMPUESTOS</w:t>
            </w:r>
          </w:p>
        </w:tc>
        <w:tc>
          <w:tcPr>
            <w:tcW w:w="2560" w:type="dxa"/>
            <w:shd w:val="clear" w:color="auto" w:fill="auto"/>
            <w:noWrap/>
            <w:vAlign w:val="bottom"/>
            <w:hideMark/>
          </w:tcPr>
          <w:p w14:paraId="2866D2C1" w14:textId="77777777" w:rsidR="00910ABC" w:rsidRPr="00910ABC" w:rsidRDefault="00910ABC" w:rsidP="00910ABC">
            <w:pPr>
              <w:spacing w:after="0" w:line="240" w:lineRule="auto"/>
              <w:jc w:val="right"/>
              <w:rPr>
                <w:rFonts w:ascii="Arial" w:eastAsia="Times New Roman" w:hAnsi="Arial" w:cs="Arial"/>
                <w:sz w:val="16"/>
                <w:szCs w:val="16"/>
                <w:lang w:eastAsia="es-MX"/>
              </w:rPr>
            </w:pPr>
            <w:r w:rsidRPr="00910ABC">
              <w:rPr>
                <w:rFonts w:ascii="Arial" w:eastAsia="Times New Roman" w:hAnsi="Arial" w:cs="Arial"/>
                <w:sz w:val="16"/>
                <w:szCs w:val="16"/>
                <w:lang w:eastAsia="es-MX"/>
              </w:rPr>
              <w:t>118,991,213.38</w:t>
            </w:r>
          </w:p>
        </w:tc>
      </w:tr>
      <w:tr w:rsidR="00910ABC" w:rsidRPr="00910ABC" w14:paraId="1D036E78" w14:textId="77777777" w:rsidTr="00E14820">
        <w:trPr>
          <w:trHeight w:val="315"/>
          <w:jc w:val="center"/>
        </w:trPr>
        <w:tc>
          <w:tcPr>
            <w:tcW w:w="3180" w:type="dxa"/>
            <w:shd w:val="clear" w:color="auto" w:fill="auto"/>
            <w:vAlign w:val="center"/>
            <w:hideMark/>
          </w:tcPr>
          <w:p w14:paraId="7BC2C7EC"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DERECHOS</w:t>
            </w:r>
          </w:p>
        </w:tc>
        <w:tc>
          <w:tcPr>
            <w:tcW w:w="2560" w:type="dxa"/>
            <w:shd w:val="clear" w:color="auto" w:fill="auto"/>
            <w:noWrap/>
            <w:vAlign w:val="bottom"/>
            <w:hideMark/>
          </w:tcPr>
          <w:p w14:paraId="7A7CB39C" w14:textId="77777777" w:rsidR="00910ABC" w:rsidRPr="00910ABC" w:rsidRDefault="00910ABC" w:rsidP="00910ABC">
            <w:pPr>
              <w:spacing w:after="0" w:line="240" w:lineRule="auto"/>
              <w:jc w:val="right"/>
              <w:rPr>
                <w:rFonts w:ascii="Arial" w:eastAsia="Times New Roman" w:hAnsi="Arial" w:cs="Arial"/>
                <w:sz w:val="16"/>
                <w:szCs w:val="16"/>
                <w:lang w:eastAsia="es-MX"/>
              </w:rPr>
            </w:pPr>
            <w:r w:rsidRPr="00910ABC">
              <w:rPr>
                <w:rFonts w:ascii="Arial" w:eastAsia="Times New Roman" w:hAnsi="Arial" w:cs="Arial"/>
                <w:sz w:val="16"/>
                <w:szCs w:val="16"/>
                <w:lang w:eastAsia="es-MX"/>
              </w:rPr>
              <w:t>34,788,902.37</w:t>
            </w:r>
          </w:p>
        </w:tc>
      </w:tr>
      <w:tr w:rsidR="00910ABC" w:rsidRPr="00910ABC" w14:paraId="3E873EB6" w14:textId="77777777" w:rsidTr="00E14820">
        <w:trPr>
          <w:trHeight w:val="315"/>
          <w:jc w:val="center"/>
        </w:trPr>
        <w:tc>
          <w:tcPr>
            <w:tcW w:w="3180" w:type="dxa"/>
            <w:shd w:val="clear" w:color="auto" w:fill="auto"/>
            <w:vAlign w:val="center"/>
            <w:hideMark/>
          </w:tcPr>
          <w:p w14:paraId="27B1C2BE"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PRODUCTOS</w:t>
            </w:r>
          </w:p>
        </w:tc>
        <w:tc>
          <w:tcPr>
            <w:tcW w:w="2560" w:type="dxa"/>
            <w:shd w:val="clear" w:color="auto" w:fill="auto"/>
            <w:noWrap/>
            <w:vAlign w:val="bottom"/>
            <w:hideMark/>
          </w:tcPr>
          <w:p w14:paraId="6988C1FF" w14:textId="77777777" w:rsidR="00910ABC" w:rsidRPr="00910ABC" w:rsidRDefault="00910ABC" w:rsidP="00910ABC">
            <w:pPr>
              <w:spacing w:after="0" w:line="240" w:lineRule="auto"/>
              <w:jc w:val="right"/>
              <w:rPr>
                <w:rFonts w:ascii="Arial" w:eastAsia="Times New Roman" w:hAnsi="Arial" w:cs="Arial"/>
                <w:sz w:val="16"/>
                <w:szCs w:val="16"/>
                <w:lang w:eastAsia="es-MX"/>
              </w:rPr>
            </w:pPr>
            <w:r w:rsidRPr="00910ABC">
              <w:rPr>
                <w:rFonts w:ascii="Arial" w:eastAsia="Times New Roman" w:hAnsi="Arial" w:cs="Arial"/>
                <w:sz w:val="16"/>
                <w:szCs w:val="16"/>
                <w:lang w:eastAsia="es-MX"/>
              </w:rPr>
              <w:t>378,703.65</w:t>
            </w:r>
          </w:p>
        </w:tc>
      </w:tr>
      <w:tr w:rsidR="00910ABC" w:rsidRPr="00910ABC" w14:paraId="54767D9E" w14:textId="77777777" w:rsidTr="00E14820">
        <w:trPr>
          <w:trHeight w:val="315"/>
          <w:jc w:val="center"/>
        </w:trPr>
        <w:tc>
          <w:tcPr>
            <w:tcW w:w="3180" w:type="dxa"/>
            <w:shd w:val="clear" w:color="auto" w:fill="auto"/>
            <w:vAlign w:val="center"/>
            <w:hideMark/>
          </w:tcPr>
          <w:p w14:paraId="657D953F"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APROVECHAMIENTOS</w:t>
            </w:r>
          </w:p>
        </w:tc>
        <w:tc>
          <w:tcPr>
            <w:tcW w:w="2560" w:type="dxa"/>
            <w:shd w:val="clear" w:color="auto" w:fill="auto"/>
            <w:noWrap/>
            <w:vAlign w:val="bottom"/>
            <w:hideMark/>
          </w:tcPr>
          <w:p w14:paraId="1DD37685" w14:textId="77777777" w:rsidR="00910ABC" w:rsidRPr="00910ABC" w:rsidRDefault="00910ABC" w:rsidP="00910ABC">
            <w:pPr>
              <w:spacing w:after="0" w:line="240" w:lineRule="auto"/>
              <w:jc w:val="right"/>
              <w:rPr>
                <w:rFonts w:ascii="Arial" w:eastAsia="Times New Roman" w:hAnsi="Arial" w:cs="Arial"/>
                <w:sz w:val="16"/>
                <w:szCs w:val="16"/>
                <w:lang w:eastAsia="es-MX"/>
              </w:rPr>
            </w:pPr>
            <w:r w:rsidRPr="00910ABC">
              <w:rPr>
                <w:rFonts w:ascii="Arial" w:eastAsia="Times New Roman" w:hAnsi="Arial" w:cs="Arial"/>
                <w:sz w:val="16"/>
                <w:szCs w:val="16"/>
                <w:lang w:eastAsia="es-MX"/>
              </w:rPr>
              <w:t>3,153,833.67</w:t>
            </w:r>
          </w:p>
        </w:tc>
      </w:tr>
      <w:tr w:rsidR="00E14820" w:rsidRPr="00910ABC" w14:paraId="50D59AD8" w14:textId="77777777" w:rsidTr="00E14820">
        <w:trPr>
          <w:trHeight w:val="315"/>
          <w:jc w:val="center"/>
        </w:trPr>
        <w:tc>
          <w:tcPr>
            <w:tcW w:w="5740" w:type="dxa"/>
            <w:gridSpan w:val="2"/>
            <w:shd w:val="clear" w:color="auto" w:fill="002060"/>
            <w:vAlign w:val="center"/>
          </w:tcPr>
          <w:p w14:paraId="1B70C8D7" w14:textId="386E4249" w:rsidR="00E14820" w:rsidRPr="00E14820" w:rsidRDefault="00E14820" w:rsidP="00E14820">
            <w:pPr>
              <w:spacing w:after="0" w:line="240" w:lineRule="auto"/>
              <w:jc w:val="center"/>
              <w:rPr>
                <w:rFonts w:ascii="Arial" w:eastAsia="Times New Roman" w:hAnsi="Arial" w:cs="Arial"/>
                <w:b/>
                <w:bCs/>
                <w:color w:val="FFFFFF"/>
                <w:sz w:val="16"/>
                <w:szCs w:val="16"/>
                <w:lang w:eastAsia="es-MX"/>
              </w:rPr>
            </w:pPr>
            <w:r w:rsidRPr="00910ABC">
              <w:rPr>
                <w:rFonts w:ascii="Arial" w:eastAsia="Times New Roman" w:hAnsi="Arial" w:cs="Arial"/>
                <w:b/>
                <w:bCs/>
                <w:color w:val="FFFFFF"/>
                <w:sz w:val="16"/>
                <w:szCs w:val="16"/>
                <w:lang w:eastAsia="es-MX"/>
              </w:rPr>
              <w:lastRenderedPageBreak/>
              <w:t>REPORTE DE RECAUDACIÓN</w:t>
            </w:r>
          </w:p>
        </w:tc>
      </w:tr>
      <w:tr w:rsidR="00910ABC" w:rsidRPr="00910ABC" w14:paraId="09003CB0" w14:textId="77777777" w:rsidTr="00E14820">
        <w:trPr>
          <w:trHeight w:val="915"/>
          <w:jc w:val="center"/>
        </w:trPr>
        <w:tc>
          <w:tcPr>
            <w:tcW w:w="3180" w:type="dxa"/>
            <w:shd w:val="clear" w:color="auto" w:fill="auto"/>
            <w:vAlign w:val="center"/>
            <w:hideMark/>
          </w:tcPr>
          <w:p w14:paraId="60BE042B"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2560" w:type="dxa"/>
            <w:shd w:val="clear" w:color="auto" w:fill="auto"/>
            <w:noWrap/>
            <w:vAlign w:val="bottom"/>
            <w:hideMark/>
          </w:tcPr>
          <w:p w14:paraId="74B2C36E" w14:textId="77777777" w:rsidR="00910ABC" w:rsidRPr="00910ABC" w:rsidRDefault="00910ABC" w:rsidP="00910ABC">
            <w:pPr>
              <w:spacing w:after="0" w:line="240" w:lineRule="auto"/>
              <w:jc w:val="right"/>
              <w:rPr>
                <w:rFonts w:ascii="Arial" w:eastAsia="Times New Roman" w:hAnsi="Arial" w:cs="Arial"/>
                <w:sz w:val="16"/>
                <w:szCs w:val="16"/>
                <w:lang w:eastAsia="es-MX"/>
              </w:rPr>
            </w:pPr>
            <w:r w:rsidRPr="00910ABC">
              <w:rPr>
                <w:rFonts w:ascii="Arial" w:eastAsia="Times New Roman" w:hAnsi="Arial" w:cs="Arial"/>
                <w:sz w:val="16"/>
                <w:szCs w:val="16"/>
                <w:lang w:eastAsia="es-MX"/>
              </w:rPr>
              <w:t>189,589,691.25</w:t>
            </w:r>
          </w:p>
        </w:tc>
      </w:tr>
      <w:tr w:rsidR="00910ABC" w:rsidRPr="00910ABC" w14:paraId="589E187B" w14:textId="77777777" w:rsidTr="00E14820">
        <w:trPr>
          <w:trHeight w:val="690"/>
          <w:jc w:val="center"/>
        </w:trPr>
        <w:tc>
          <w:tcPr>
            <w:tcW w:w="3180" w:type="dxa"/>
            <w:shd w:val="clear" w:color="auto" w:fill="auto"/>
            <w:vAlign w:val="center"/>
            <w:hideMark/>
          </w:tcPr>
          <w:p w14:paraId="6924EACD"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TRANSFERENCIAS, ASIGNACIONES, SUBSIDIOS Y SUBVENCIONES, Y PENSIONES Y JUBILACIONES</w:t>
            </w:r>
          </w:p>
        </w:tc>
        <w:tc>
          <w:tcPr>
            <w:tcW w:w="2560" w:type="dxa"/>
            <w:shd w:val="clear" w:color="auto" w:fill="auto"/>
            <w:noWrap/>
            <w:vAlign w:val="bottom"/>
            <w:hideMark/>
          </w:tcPr>
          <w:p w14:paraId="4850A386" w14:textId="77777777" w:rsidR="00910ABC" w:rsidRPr="00910ABC" w:rsidRDefault="00910ABC" w:rsidP="00910ABC">
            <w:pPr>
              <w:spacing w:after="0" w:line="240" w:lineRule="auto"/>
              <w:jc w:val="right"/>
              <w:rPr>
                <w:rFonts w:ascii="Arial" w:eastAsia="Times New Roman" w:hAnsi="Arial" w:cs="Arial"/>
                <w:sz w:val="16"/>
                <w:szCs w:val="16"/>
                <w:lang w:eastAsia="es-MX"/>
              </w:rPr>
            </w:pPr>
            <w:r w:rsidRPr="00910ABC">
              <w:rPr>
                <w:rFonts w:ascii="Arial" w:eastAsia="Times New Roman" w:hAnsi="Arial" w:cs="Arial"/>
                <w:sz w:val="16"/>
                <w:szCs w:val="16"/>
                <w:lang w:eastAsia="es-MX"/>
              </w:rPr>
              <w:t>512,598.13</w:t>
            </w:r>
          </w:p>
        </w:tc>
      </w:tr>
      <w:tr w:rsidR="00910ABC" w:rsidRPr="00910ABC" w14:paraId="09545BEC" w14:textId="77777777" w:rsidTr="00E14820">
        <w:trPr>
          <w:trHeight w:val="315"/>
          <w:jc w:val="center"/>
        </w:trPr>
        <w:tc>
          <w:tcPr>
            <w:tcW w:w="3180" w:type="dxa"/>
            <w:shd w:val="clear" w:color="auto" w:fill="auto"/>
            <w:vAlign w:val="center"/>
            <w:hideMark/>
          </w:tcPr>
          <w:p w14:paraId="441E077E"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OTROS INGRESOS Y BENEFICIOS</w:t>
            </w:r>
          </w:p>
        </w:tc>
        <w:tc>
          <w:tcPr>
            <w:tcW w:w="2560" w:type="dxa"/>
            <w:shd w:val="clear" w:color="auto" w:fill="auto"/>
            <w:vAlign w:val="center"/>
            <w:hideMark/>
          </w:tcPr>
          <w:p w14:paraId="4F123A53" w14:textId="77777777" w:rsidR="00910ABC" w:rsidRPr="00910ABC" w:rsidRDefault="00910ABC" w:rsidP="00910ABC">
            <w:pPr>
              <w:spacing w:after="0" w:line="240" w:lineRule="auto"/>
              <w:jc w:val="right"/>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0.00</w:t>
            </w:r>
          </w:p>
        </w:tc>
      </w:tr>
      <w:tr w:rsidR="00910ABC" w:rsidRPr="00910ABC" w14:paraId="23BF275C" w14:textId="77777777" w:rsidTr="00E14820">
        <w:trPr>
          <w:trHeight w:val="300"/>
          <w:jc w:val="center"/>
        </w:trPr>
        <w:tc>
          <w:tcPr>
            <w:tcW w:w="3180" w:type="dxa"/>
            <w:shd w:val="clear" w:color="auto" w:fill="auto"/>
            <w:vAlign w:val="center"/>
            <w:hideMark/>
          </w:tcPr>
          <w:p w14:paraId="04571114" w14:textId="77777777" w:rsidR="00910ABC" w:rsidRPr="00910ABC" w:rsidRDefault="00910ABC" w:rsidP="00910ABC">
            <w:pPr>
              <w:spacing w:after="0" w:line="240" w:lineRule="auto"/>
              <w:rPr>
                <w:rFonts w:ascii="Arial" w:eastAsia="Times New Roman" w:hAnsi="Arial" w:cs="Arial"/>
                <w:b/>
                <w:bCs/>
                <w:color w:val="000000"/>
                <w:sz w:val="16"/>
                <w:szCs w:val="16"/>
                <w:lang w:eastAsia="es-MX"/>
              </w:rPr>
            </w:pPr>
            <w:r w:rsidRPr="00910ABC">
              <w:rPr>
                <w:rFonts w:ascii="Arial" w:eastAsia="Times New Roman" w:hAnsi="Arial" w:cs="Arial"/>
                <w:b/>
                <w:bCs/>
                <w:color w:val="000000"/>
                <w:sz w:val="16"/>
                <w:szCs w:val="16"/>
                <w:lang w:eastAsia="es-MX"/>
              </w:rPr>
              <w:t>TOTAL</w:t>
            </w:r>
          </w:p>
        </w:tc>
        <w:tc>
          <w:tcPr>
            <w:tcW w:w="2560" w:type="dxa"/>
            <w:shd w:val="clear" w:color="auto" w:fill="auto"/>
            <w:vAlign w:val="center"/>
            <w:hideMark/>
          </w:tcPr>
          <w:p w14:paraId="1B36E36A" w14:textId="77777777" w:rsidR="00910ABC" w:rsidRPr="00910ABC" w:rsidRDefault="00910ABC" w:rsidP="00910ABC">
            <w:pPr>
              <w:spacing w:after="0" w:line="240" w:lineRule="auto"/>
              <w:jc w:val="right"/>
              <w:rPr>
                <w:rFonts w:ascii="Arial" w:eastAsia="Times New Roman" w:hAnsi="Arial" w:cs="Arial"/>
                <w:b/>
                <w:bCs/>
                <w:color w:val="000000"/>
                <w:sz w:val="16"/>
                <w:szCs w:val="16"/>
                <w:lang w:eastAsia="es-MX"/>
              </w:rPr>
            </w:pPr>
            <w:r w:rsidRPr="00910ABC">
              <w:rPr>
                <w:rFonts w:ascii="Arial" w:eastAsia="Times New Roman" w:hAnsi="Arial" w:cs="Arial"/>
                <w:b/>
                <w:bCs/>
                <w:color w:val="000000"/>
                <w:sz w:val="16"/>
                <w:szCs w:val="16"/>
                <w:lang w:eastAsia="es-MX"/>
              </w:rPr>
              <w:t>347,414,942.45</w:t>
            </w:r>
          </w:p>
        </w:tc>
      </w:tr>
    </w:tbl>
    <w:p w14:paraId="0E6D4182" w14:textId="77777777" w:rsidR="005928AF" w:rsidRDefault="005928AF" w:rsidP="00CB41C4">
      <w:pPr>
        <w:tabs>
          <w:tab w:val="left" w:leader="underscore" w:pos="9639"/>
        </w:tabs>
        <w:spacing w:after="0" w:line="240" w:lineRule="auto"/>
        <w:jc w:val="both"/>
        <w:rPr>
          <w:rFonts w:cs="Calibri"/>
          <w:b/>
          <w:sz w:val="20"/>
          <w:szCs w:val="20"/>
        </w:rPr>
      </w:pPr>
    </w:p>
    <w:p w14:paraId="36C23337" w14:textId="58DE9833" w:rsidR="007D1E76" w:rsidRPr="00603389" w:rsidRDefault="007D1E76" w:rsidP="00603389">
      <w:pPr>
        <w:pStyle w:val="Prrafodelista"/>
        <w:numPr>
          <w:ilvl w:val="0"/>
          <w:numId w:val="2"/>
        </w:numPr>
        <w:tabs>
          <w:tab w:val="left" w:leader="underscore" w:pos="9639"/>
        </w:tabs>
        <w:spacing w:after="0" w:line="240" w:lineRule="auto"/>
        <w:jc w:val="both"/>
        <w:rPr>
          <w:rFonts w:cs="Calibri"/>
          <w:sz w:val="20"/>
          <w:szCs w:val="20"/>
        </w:rPr>
      </w:pPr>
      <w:r w:rsidRPr="00603389">
        <w:rPr>
          <w:rFonts w:cs="Calibri"/>
          <w:sz w:val="20"/>
          <w:szCs w:val="20"/>
        </w:rPr>
        <w:t>Proyección de la recaudación e ingresos en el mediano plazo:</w:t>
      </w:r>
    </w:p>
    <w:p w14:paraId="0CC74721" w14:textId="77777777" w:rsidR="00603389" w:rsidRPr="00603389" w:rsidRDefault="00603389" w:rsidP="00603389">
      <w:pPr>
        <w:pStyle w:val="Prrafodelista"/>
        <w:tabs>
          <w:tab w:val="left" w:leader="underscore" w:pos="9639"/>
        </w:tabs>
        <w:spacing w:after="0" w:line="240" w:lineRule="auto"/>
        <w:jc w:val="both"/>
        <w:rPr>
          <w:rFonts w:cs="Calibri"/>
          <w:sz w:val="20"/>
          <w:szCs w:val="20"/>
        </w:rPr>
      </w:pPr>
    </w:p>
    <w:tbl>
      <w:tblPr>
        <w:tblW w:w="5740" w:type="dxa"/>
        <w:jc w:val="center"/>
        <w:tblCellMar>
          <w:left w:w="70" w:type="dxa"/>
          <w:right w:w="70" w:type="dxa"/>
        </w:tblCellMar>
        <w:tblLook w:val="04A0" w:firstRow="1" w:lastRow="0" w:firstColumn="1" w:lastColumn="0" w:noHBand="0" w:noVBand="1"/>
      </w:tblPr>
      <w:tblGrid>
        <w:gridCol w:w="3180"/>
        <w:gridCol w:w="2560"/>
      </w:tblGrid>
      <w:tr w:rsidR="00910ABC" w:rsidRPr="00910ABC" w14:paraId="1ED7DEEF" w14:textId="77777777" w:rsidTr="00E14820">
        <w:trPr>
          <w:trHeight w:val="300"/>
          <w:jc w:val="center"/>
        </w:trPr>
        <w:tc>
          <w:tcPr>
            <w:tcW w:w="5740"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7CF0040A" w14:textId="77777777" w:rsidR="00910ABC" w:rsidRPr="00910ABC" w:rsidRDefault="00910ABC" w:rsidP="00910ABC">
            <w:pPr>
              <w:spacing w:after="0" w:line="240" w:lineRule="auto"/>
              <w:jc w:val="center"/>
              <w:rPr>
                <w:rFonts w:ascii="Arial" w:eastAsia="Times New Roman" w:hAnsi="Arial" w:cs="Arial"/>
                <w:b/>
                <w:bCs/>
                <w:color w:val="FFFFFF"/>
                <w:sz w:val="16"/>
                <w:szCs w:val="16"/>
                <w:lang w:eastAsia="es-MX"/>
              </w:rPr>
            </w:pPr>
            <w:r w:rsidRPr="00910ABC">
              <w:rPr>
                <w:rFonts w:ascii="Arial" w:eastAsia="Times New Roman" w:hAnsi="Arial" w:cs="Arial"/>
                <w:b/>
                <w:bCs/>
                <w:color w:val="FFFFFF"/>
                <w:sz w:val="16"/>
                <w:szCs w:val="16"/>
                <w:lang w:eastAsia="es-MX"/>
              </w:rPr>
              <w:t>REPORTE DE PRONÓSTICO DE RECAUDACIÓN</w:t>
            </w:r>
          </w:p>
        </w:tc>
      </w:tr>
      <w:tr w:rsidR="00910ABC" w:rsidRPr="00910ABC" w14:paraId="101AC636" w14:textId="77777777" w:rsidTr="00910ABC">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5A902E7F"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IMPUESTOS</w:t>
            </w:r>
          </w:p>
        </w:tc>
        <w:tc>
          <w:tcPr>
            <w:tcW w:w="2560" w:type="dxa"/>
            <w:tcBorders>
              <w:top w:val="nil"/>
              <w:left w:val="nil"/>
              <w:bottom w:val="single" w:sz="4" w:space="0" w:color="auto"/>
              <w:right w:val="single" w:sz="4" w:space="0" w:color="auto"/>
            </w:tcBorders>
            <w:shd w:val="clear" w:color="auto" w:fill="auto"/>
            <w:noWrap/>
            <w:hideMark/>
          </w:tcPr>
          <w:p w14:paraId="68549666" w14:textId="77777777" w:rsidR="00910ABC" w:rsidRPr="00910ABC" w:rsidRDefault="00910ABC" w:rsidP="00910ABC">
            <w:pPr>
              <w:spacing w:after="0" w:line="240" w:lineRule="auto"/>
              <w:jc w:val="right"/>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146,339,476.00</w:t>
            </w:r>
          </w:p>
        </w:tc>
      </w:tr>
      <w:tr w:rsidR="00910ABC" w:rsidRPr="00910ABC" w14:paraId="37984D20" w14:textId="77777777" w:rsidTr="00910ABC">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6E32C275"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DERECHOS</w:t>
            </w:r>
          </w:p>
        </w:tc>
        <w:tc>
          <w:tcPr>
            <w:tcW w:w="2560" w:type="dxa"/>
            <w:tcBorders>
              <w:top w:val="nil"/>
              <w:left w:val="nil"/>
              <w:bottom w:val="single" w:sz="4" w:space="0" w:color="auto"/>
              <w:right w:val="single" w:sz="4" w:space="0" w:color="auto"/>
            </w:tcBorders>
            <w:shd w:val="clear" w:color="auto" w:fill="auto"/>
            <w:noWrap/>
            <w:hideMark/>
          </w:tcPr>
          <w:p w14:paraId="2C5AEF3A" w14:textId="77777777" w:rsidR="00910ABC" w:rsidRPr="00910ABC" w:rsidRDefault="00910ABC" w:rsidP="00910ABC">
            <w:pPr>
              <w:spacing w:after="0" w:line="240" w:lineRule="auto"/>
              <w:jc w:val="right"/>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126,044,058.00</w:t>
            </w:r>
          </w:p>
        </w:tc>
      </w:tr>
      <w:tr w:rsidR="00910ABC" w:rsidRPr="00910ABC" w14:paraId="65C9EBBB" w14:textId="77777777" w:rsidTr="00910ABC">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68D3A248"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PRODUCTOS</w:t>
            </w:r>
          </w:p>
        </w:tc>
        <w:tc>
          <w:tcPr>
            <w:tcW w:w="2560" w:type="dxa"/>
            <w:tcBorders>
              <w:top w:val="nil"/>
              <w:left w:val="nil"/>
              <w:bottom w:val="single" w:sz="4" w:space="0" w:color="auto"/>
              <w:right w:val="single" w:sz="4" w:space="0" w:color="auto"/>
            </w:tcBorders>
            <w:shd w:val="clear" w:color="auto" w:fill="auto"/>
            <w:noWrap/>
            <w:hideMark/>
          </w:tcPr>
          <w:p w14:paraId="1A05A64F" w14:textId="77777777" w:rsidR="00910ABC" w:rsidRPr="00910ABC" w:rsidRDefault="00910ABC" w:rsidP="00910ABC">
            <w:pPr>
              <w:spacing w:after="0" w:line="240" w:lineRule="auto"/>
              <w:jc w:val="right"/>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14,220,957.00</w:t>
            </w:r>
          </w:p>
        </w:tc>
      </w:tr>
      <w:tr w:rsidR="00910ABC" w:rsidRPr="00910ABC" w14:paraId="29E66167" w14:textId="77777777" w:rsidTr="00910ABC">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0E654645"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APROVECHAMIENTOS</w:t>
            </w:r>
          </w:p>
        </w:tc>
        <w:tc>
          <w:tcPr>
            <w:tcW w:w="2560" w:type="dxa"/>
            <w:tcBorders>
              <w:top w:val="nil"/>
              <w:left w:val="nil"/>
              <w:bottom w:val="single" w:sz="4" w:space="0" w:color="auto"/>
              <w:right w:val="single" w:sz="4" w:space="0" w:color="auto"/>
            </w:tcBorders>
            <w:shd w:val="clear" w:color="auto" w:fill="auto"/>
            <w:noWrap/>
            <w:hideMark/>
          </w:tcPr>
          <w:p w14:paraId="5E4576AB" w14:textId="77777777" w:rsidR="00910ABC" w:rsidRPr="00910ABC" w:rsidRDefault="00910ABC" w:rsidP="00910ABC">
            <w:pPr>
              <w:spacing w:after="0" w:line="240" w:lineRule="auto"/>
              <w:jc w:val="right"/>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18,690,992.00</w:t>
            </w:r>
          </w:p>
        </w:tc>
      </w:tr>
      <w:tr w:rsidR="00910ABC" w:rsidRPr="00910ABC" w14:paraId="43B69CF4" w14:textId="77777777" w:rsidTr="00910ABC">
        <w:trPr>
          <w:trHeight w:val="9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063379BF"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2560" w:type="dxa"/>
            <w:tcBorders>
              <w:top w:val="nil"/>
              <w:left w:val="nil"/>
              <w:bottom w:val="single" w:sz="4" w:space="0" w:color="auto"/>
              <w:right w:val="single" w:sz="4" w:space="0" w:color="auto"/>
            </w:tcBorders>
            <w:shd w:val="clear" w:color="auto" w:fill="auto"/>
            <w:noWrap/>
            <w:hideMark/>
          </w:tcPr>
          <w:p w14:paraId="7FD2593E" w14:textId="77777777" w:rsidR="00910ABC" w:rsidRPr="00910ABC" w:rsidRDefault="00910ABC" w:rsidP="00910ABC">
            <w:pPr>
              <w:spacing w:after="0" w:line="240" w:lineRule="auto"/>
              <w:jc w:val="right"/>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699,202,892.96</w:t>
            </w:r>
          </w:p>
        </w:tc>
      </w:tr>
      <w:tr w:rsidR="00910ABC" w:rsidRPr="00910ABC" w14:paraId="165AE684" w14:textId="77777777" w:rsidTr="00910ABC">
        <w:trPr>
          <w:trHeight w:val="675"/>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4FB0192D"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TRANSFERENCIAS, ASIGNACIONES, SUBSIDIOS Y SUBVENCIONES, Y PENSIONES Y JUBILACIONES</w:t>
            </w:r>
          </w:p>
        </w:tc>
        <w:tc>
          <w:tcPr>
            <w:tcW w:w="2560" w:type="dxa"/>
            <w:tcBorders>
              <w:top w:val="nil"/>
              <w:left w:val="nil"/>
              <w:bottom w:val="single" w:sz="4" w:space="0" w:color="auto"/>
              <w:right w:val="single" w:sz="4" w:space="0" w:color="auto"/>
            </w:tcBorders>
            <w:shd w:val="clear" w:color="auto" w:fill="auto"/>
            <w:noWrap/>
            <w:hideMark/>
          </w:tcPr>
          <w:p w14:paraId="31C2B9B3" w14:textId="77777777" w:rsidR="00910ABC" w:rsidRPr="00910ABC" w:rsidRDefault="00910ABC" w:rsidP="00910ABC">
            <w:pPr>
              <w:spacing w:after="0" w:line="240" w:lineRule="auto"/>
              <w:jc w:val="right"/>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8,808,152.80</w:t>
            </w:r>
          </w:p>
        </w:tc>
      </w:tr>
      <w:tr w:rsidR="00910ABC" w:rsidRPr="00910ABC" w14:paraId="24DE8182" w14:textId="77777777" w:rsidTr="00910ABC">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384A0B4E" w14:textId="77777777" w:rsidR="00910ABC" w:rsidRPr="00910ABC" w:rsidRDefault="00910ABC" w:rsidP="00910ABC">
            <w:pPr>
              <w:spacing w:after="0" w:line="240" w:lineRule="auto"/>
              <w:rPr>
                <w:rFonts w:ascii="Arial" w:eastAsia="Times New Roman" w:hAnsi="Arial" w:cs="Arial"/>
                <w:color w:val="000000"/>
                <w:sz w:val="16"/>
                <w:szCs w:val="16"/>
                <w:lang w:eastAsia="es-MX"/>
              </w:rPr>
            </w:pPr>
            <w:r w:rsidRPr="00910ABC">
              <w:rPr>
                <w:rFonts w:ascii="Arial" w:eastAsia="Times New Roman" w:hAnsi="Arial" w:cs="Arial"/>
                <w:color w:val="000000"/>
                <w:sz w:val="16"/>
                <w:szCs w:val="16"/>
                <w:lang w:eastAsia="es-MX"/>
              </w:rPr>
              <w:t>OTROS INGRESOS Y BENEFICIOS</w:t>
            </w:r>
          </w:p>
        </w:tc>
        <w:tc>
          <w:tcPr>
            <w:tcW w:w="2560" w:type="dxa"/>
            <w:tcBorders>
              <w:top w:val="nil"/>
              <w:left w:val="nil"/>
              <w:bottom w:val="single" w:sz="4" w:space="0" w:color="auto"/>
              <w:right w:val="single" w:sz="4" w:space="0" w:color="auto"/>
            </w:tcBorders>
            <w:shd w:val="clear" w:color="auto" w:fill="auto"/>
            <w:noWrap/>
            <w:vAlign w:val="bottom"/>
            <w:hideMark/>
          </w:tcPr>
          <w:p w14:paraId="0BA06F67" w14:textId="77777777" w:rsidR="00910ABC" w:rsidRPr="00910ABC" w:rsidRDefault="00910ABC" w:rsidP="00910ABC">
            <w:pPr>
              <w:spacing w:after="0" w:line="240" w:lineRule="auto"/>
              <w:jc w:val="right"/>
              <w:rPr>
                <w:rFonts w:ascii="Arial" w:eastAsia="Times New Roman" w:hAnsi="Arial" w:cs="Arial"/>
                <w:sz w:val="16"/>
                <w:szCs w:val="16"/>
                <w:lang w:eastAsia="es-MX"/>
              </w:rPr>
            </w:pPr>
            <w:r w:rsidRPr="00910ABC">
              <w:rPr>
                <w:rFonts w:ascii="Arial" w:eastAsia="Times New Roman" w:hAnsi="Arial" w:cs="Arial"/>
                <w:sz w:val="16"/>
                <w:szCs w:val="16"/>
                <w:lang w:eastAsia="es-MX"/>
              </w:rPr>
              <w:t>0.00</w:t>
            </w:r>
          </w:p>
        </w:tc>
      </w:tr>
      <w:tr w:rsidR="00910ABC" w:rsidRPr="00910ABC" w14:paraId="41940080" w14:textId="77777777" w:rsidTr="00910ABC">
        <w:trPr>
          <w:trHeight w:val="300"/>
          <w:jc w:val="center"/>
        </w:trPr>
        <w:tc>
          <w:tcPr>
            <w:tcW w:w="3180" w:type="dxa"/>
            <w:tcBorders>
              <w:top w:val="nil"/>
              <w:left w:val="single" w:sz="4" w:space="0" w:color="auto"/>
              <w:bottom w:val="single" w:sz="4" w:space="0" w:color="auto"/>
              <w:right w:val="single" w:sz="4" w:space="0" w:color="auto"/>
            </w:tcBorders>
            <w:shd w:val="clear" w:color="auto" w:fill="auto"/>
            <w:vAlign w:val="center"/>
            <w:hideMark/>
          </w:tcPr>
          <w:p w14:paraId="071B2FD2" w14:textId="77777777" w:rsidR="00910ABC" w:rsidRPr="00910ABC" w:rsidRDefault="00910ABC" w:rsidP="00910ABC">
            <w:pPr>
              <w:spacing w:after="0" w:line="240" w:lineRule="auto"/>
              <w:rPr>
                <w:rFonts w:ascii="Arial" w:eastAsia="Times New Roman" w:hAnsi="Arial" w:cs="Arial"/>
                <w:b/>
                <w:bCs/>
                <w:color w:val="000000"/>
                <w:sz w:val="16"/>
                <w:szCs w:val="16"/>
                <w:lang w:eastAsia="es-MX"/>
              </w:rPr>
            </w:pPr>
            <w:r w:rsidRPr="00910ABC">
              <w:rPr>
                <w:rFonts w:ascii="Arial" w:eastAsia="Times New Roman" w:hAnsi="Arial" w:cs="Arial"/>
                <w:b/>
                <w:bCs/>
                <w:color w:val="000000"/>
                <w:sz w:val="16"/>
                <w:szCs w:val="16"/>
                <w:lang w:eastAsia="es-MX"/>
              </w:rPr>
              <w:t>TOTAL</w:t>
            </w:r>
          </w:p>
        </w:tc>
        <w:tc>
          <w:tcPr>
            <w:tcW w:w="2560" w:type="dxa"/>
            <w:tcBorders>
              <w:top w:val="nil"/>
              <w:left w:val="nil"/>
              <w:bottom w:val="single" w:sz="4" w:space="0" w:color="auto"/>
              <w:right w:val="single" w:sz="4" w:space="0" w:color="auto"/>
            </w:tcBorders>
            <w:shd w:val="clear" w:color="auto" w:fill="auto"/>
            <w:vAlign w:val="center"/>
            <w:hideMark/>
          </w:tcPr>
          <w:p w14:paraId="39064BBA" w14:textId="77777777" w:rsidR="00910ABC" w:rsidRPr="00910ABC" w:rsidRDefault="00910ABC" w:rsidP="00910ABC">
            <w:pPr>
              <w:spacing w:after="0" w:line="240" w:lineRule="auto"/>
              <w:jc w:val="right"/>
              <w:rPr>
                <w:rFonts w:ascii="Arial" w:eastAsia="Times New Roman" w:hAnsi="Arial" w:cs="Arial"/>
                <w:b/>
                <w:bCs/>
                <w:color w:val="000000"/>
                <w:sz w:val="16"/>
                <w:szCs w:val="16"/>
                <w:lang w:eastAsia="es-MX"/>
              </w:rPr>
            </w:pPr>
            <w:r w:rsidRPr="00910ABC">
              <w:rPr>
                <w:rFonts w:ascii="Arial" w:eastAsia="Times New Roman" w:hAnsi="Arial" w:cs="Arial"/>
                <w:b/>
                <w:bCs/>
                <w:color w:val="000000"/>
                <w:sz w:val="16"/>
                <w:szCs w:val="16"/>
                <w:lang w:eastAsia="es-MX"/>
              </w:rPr>
              <w:t>1,013,306,528.76</w:t>
            </w:r>
          </w:p>
        </w:tc>
      </w:tr>
    </w:tbl>
    <w:p w14:paraId="26FDB1A9" w14:textId="77777777" w:rsidR="00231FBE" w:rsidRPr="009F6E4B" w:rsidRDefault="00231FBE" w:rsidP="00CB41C4">
      <w:pPr>
        <w:tabs>
          <w:tab w:val="left" w:leader="underscore" w:pos="9639"/>
        </w:tabs>
        <w:spacing w:after="0" w:line="240" w:lineRule="auto"/>
        <w:jc w:val="both"/>
        <w:rPr>
          <w:rFonts w:cs="Calibri"/>
          <w:sz w:val="20"/>
          <w:szCs w:val="20"/>
        </w:rPr>
      </w:pPr>
    </w:p>
    <w:p w14:paraId="2D68C3FC" w14:textId="7BAEB103" w:rsidR="007D1E76" w:rsidRPr="009F6E4B" w:rsidRDefault="007D1E76" w:rsidP="000C3365">
      <w:pPr>
        <w:pStyle w:val="Ttulo2"/>
        <w:rPr>
          <w:rFonts w:asciiTheme="minorHAnsi" w:hAnsiTheme="minorHAnsi" w:cstheme="minorHAnsi"/>
          <w:b/>
          <w:color w:val="auto"/>
          <w:sz w:val="20"/>
          <w:szCs w:val="20"/>
        </w:rPr>
      </w:pPr>
      <w:bookmarkStart w:id="11" w:name="_Toc227665767"/>
      <w:r w:rsidRPr="009F6E4B">
        <w:rPr>
          <w:rFonts w:asciiTheme="minorHAnsi" w:hAnsiTheme="minorHAnsi" w:cstheme="minorHAnsi"/>
          <w:b/>
          <w:color w:val="auto"/>
          <w:sz w:val="20"/>
          <w:szCs w:val="20"/>
        </w:rPr>
        <w:t>1</w:t>
      </w:r>
      <w:r w:rsidR="00106EE9" w:rsidRPr="009F6E4B">
        <w:rPr>
          <w:rFonts w:asciiTheme="minorHAnsi" w:hAnsiTheme="minorHAnsi" w:cstheme="minorHAnsi"/>
          <w:b/>
          <w:color w:val="auto"/>
          <w:sz w:val="20"/>
          <w:szCs w:val="20"/>
        </w:rPr>
        <w:t>0</w:t>
      </w:r>
      <w:r w:rsidRPr="009F6E4B">
        <w:rPr>
          <w:rFonts w:asciiTheme="minorHAnsi" w:hAnsiTheme="minorHAnsi" w:cstheme="minorHAnsi"/>
          <w:b/>
          <w:color w:val="auto"/>
          <w:sz w:val="20"/>
          <w:szCs w:val="20"/>
        </w:rPr>
        <w:t>. Información sobre la Deuda y el R</w:t>
      </w:r>
      <w:r w:rsidR="005E231E" w:rsidRPr="009F6E4B">
        <w:rPr>
          <w:rFonts w:asciiTheme="minorHAnsi" w:hAnsiTheme="minorHAnsi" w:cstheme="minorHAnsi"/>
          <w:b/>
          <w:color w:val="auto"/>
          <w:sz w:val="20"/>
          <w:szCs w:val="20"/>
        </w:rPr>
        <w:t>eporte Analítico de la Deuda:</w:t>
      </w:r>
      <w:bookmarkEnd w:id="11"/>
    </w:p>
    <w:p w14:paraId="27337031" w14:textId="77777777" w:rsidR="007D1E76" w:rsidRPr="009F6E4B" w:rsidRDefault="007D1E76" w:rsidP="00CB41C4">
      <w:pPr>
        <w:tabs>
          <w:tab w:val="left" w:leader="underscore" w:pos="9639"/>
        </w:tabs>
        <w:spacing w:after="0" w:line="240" w:lineRule="auto"/>
        <w:jc w:val="both"/>
        <w:rPr>
          <w:rFonts w:cs="Calibri"/>
          <w:sz w:val="20"/>
          <w:szCs w:val="20"/>
        </w:rPr>
      </w:pPr>
    </w:p>
    <w:p w14:paraId="7B63D2E0"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a)</w:t>
      </w:r>
      <w:r w:rsidRPr="009F6E4B">
        <w:rPr>
          <w:rFonts w:cs="Calibri"/>
          <w:sz w:val="20"/>
          <w:szCs w:val="20"/>
        </w:rPr>
        <w:t xml:space="preserve"> Utilizar al menos los siguientes indicadores: deuda respecto al PIB y deuda respecto a la recaudación tomando, como mínimo, un período igual o menor a 5 años.</w:t>
      </w:r>
    </w:p>
    <w:p w14:paraId="3F9DDBBA" w14:textId="77777777" w:rsidR="007D1E76" w:rsidRPr="009F6E4B" w:rsidRDefault="007D1E76" w:rsidP="00CB41C4">
      <w:pPr>
        <w:tabs>
          <w:tab w:val="left" w:leader="underscore" w:pos="9639"/>
        </w:tabs>
        <w:spacing w:after="0" w:line="240" w:lineRule="auto"/>
        <w:jc w:val="both"/>
        <w:rPr>
          <w:rFonts w:cs="Calibri"/>
          <w:sz w:val="20"/>
          <w:szCs w:val="20"/>
        </w:rPr>
      </w:pPr>
    </w:p>
    <w:p w14:paraId="26034E41"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b/>
          <w:sz w:val="20"/>
          <w:szCs w:val="20"/>
        </w:rPr>
        <w:t>b)</w:t>
      </w:r>
      <w:r w:rsidRPr="009F6E4B">
        <w:rPr>
          <w:rFonts w:cs="Calibri"/>
          <w:sz w:val="20"/>
          <w:szCs w:val="20"/>
        </w:rPr>
        <w:t xml:space="preserve"> Información de manera agrupada por tipo de valor gubernamental o instrumento financiero en la que se considere</w:t>
      </w:r>
      <w:r w:rsidR="001973A2" w:rsidRPr="009F6E4B">
        <w:rPr>
          <w:rFonts w:cs="Calibri"/>
          <w:sz w:val="20"/>
          <w:szCs w:val="20"/>
        </w:rPr>
        <w:t>n</w:t>
      </w:r>
      <w:r w:rsidRPr="009F6E4B">
        <w:rPr>
          <w:rFonts w:cs="Calibri"/>
          <w:sz w:val="20"/>
          <w:szCs w:val="20"/>
        </w:rPr>
        <w:t xml:space="preserve"> intereses, comisiones, tasa, perfil de vencimiento y otros gastos de la deuda.</w:t>
      </w:r>
    </w:p>
    <w:p w14:paraId="6EAE6B5E" w14:textId="78F1BED0" w:rsidR="000F065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 xml:space="preserve">* Se </w:t>
      </w:r>
      <w:r w:rsidR="000C3365" w:rsidRPr="009F6E4B">
        <w:rPr>
          <w:rFonts w:cs="Calibri"/>
          <w:sz w:val="20"/>
          <w:szCs w:val="20"/>
        </w:rPr>
        <w:t>anexará</w:t>
      </w:r>
      <w:r w:rsidRPr="009F6E4B">
        <w:rPr>
          <w:rFonts w:cs="Calibri"/>
          <w:sz w:val="20"/>
          <w:szCs w:val="20"/>
        </w:rPr>
        <w:t xml:space="preserve"> la informació</w:t>
      </w:r>
      <w:r w:rsidR="005E231E" w:rsidRPr="009F6E4B">
        <w:rPr>
          <w:rFonts w:cs="Calibri"/>
          <w:sz w:val="20"/>
          <w:szCs w:val="20"/>
        </w:rPr>
        <w:t>n en las notas de desglose.</w:t>
      </w:r>
    </w:p>
    <w:p w14:paraId="6D3218A9" w14:textId="77777777" w:rsidR="00E14820" w:rsidRDefault="00E14820" w:rsidP="000F0656">
      <w:pPr>
        <w:spacing w:after="0" w:line="240" w:lineRule="auto"/>
        <w:jc w:val="both"/>
        <w:rPr>
          <w:rFonts w:eastAsia="Times New Roman" w:cs="Arial"/>
          <w:sz w:val="20"/>
          <w:szCs w:val="20"/>
        </w:rPr>
      </w:pPr>
    </w:p>
    <w:p w14:paraId="78CD75E3" w14:textId="6CDDC4A3" w:rsidR="000F0656" w:rsidRPr="009F6E4B" w:rsidRDefault="000F0656" w:rsidP="000F0656">
      <w:pPr>
        <w:spacing w:after="0" w:line="240" w:lineRule="auto"/>
        <w:jc w:val="both"/>
        <w:rPr>
          <w:rFonts w:cs="Calibri"/>
          <w:sz w:val="20"/>
          <w:szCs w:val="20"/>
        </w:rPr>
      </w:pPr>
      <w:bookmarkStart w:id="12" w:name="_GoBack"/>
      <w:bookmarkEnd w:id="12"/>
      <w:r w:rsidRPr="009F6E4B">
        <w:rPr>
          <w:rFonts w:eastAsia="Times New Roman" w:cs="Arial"/>
          <w:sz w:val="20"/>
          <w:szCs w:val="20"/>
        </w:rPr>
        <w:t>Al periodo</w:t>
      </w:r>
      <w:r w:rsidRPr="009F6E4B">
        <w:rPr>
          <w:rFonts w:cs="Calibri"/>
          <w:sz w:val="20"/>
          <w:szCs w:val="20"/>
        </w:rPr>
        <w:t xml:space="preserve"> que se informa no se tiene contratada deuda.</w:t>
      </w:r>
    </w:p>
    <w:p w14:paraId="3459EC5D" w14:textId="77777777" w:rsidR="000F0656" w:rsidRPr="009F6E4B" w:rsidRDefault="000F0656" w:rsidP="00CB41C4">
      <w:pPr>
        <w:tabs>
          <w:tab w:val="left" w:leader="underscore" w:pos="9639"/>
        </w:tabs>
        <w:spacing w:after="0" w:line="240" w:lineRule="auto"/>
        <w:jc w:val="both"/>
        <w:rPr>
          <w:rFonts w:cs="Calibri"/>
          <w:sz w:val="20"/>
          <w:szCs w:val="20"/>
        </w:rPr>
      </w:pPr>
    </w:p>
    <w:p w14:paraId="19C64A34" w14:textId="7E11CC12" w:rsidR="007D1E76" w:rsidRPr="009F6E4B" w:rsidRDefault="007D1E76" w:rsidP="000C3365">
      <w:pPr>
        <w:pStyle w:val="Ttulo2"/>
        <w:rPr>
          <w:rFonts w:asciiTheme="minorHAnsi" w:hAnsiTheme="minorHAnsi" w:cstheme="minorHAnsi"/>
          <w:b/>
          <w:color w:val="auto"/>
          <w:sz w:val="20"/>
          <w:szCs w:val="20"/>
        </w:rPr>
      </w:pPr>
      <w:bookmarkStart w:id="13" w:name="_Toc227665768"/>
      <w:r w:rsidRPr="009F6E4B">
        <w:rPr>
          <w:rFonts w:asciiTheme="minorHAnsi" w:hAnsiTheme="minorHAnsi" w:cstheme="minorHAnsi"/>
          <w:b/>
          <w:color w:val="auto"/>
          <w:sz w:val="20"/>
          <w:szCs w:val="20"/>
        </w:rPr>
        <w:t>1</w:t>
      </w:r>
      <w:r w:rsidR="005F2900" w:rsidRPr="009F6E4B">
        <w:rPr>
          <w:rFonts w:asciiTheme="minorHAnsi" w:hAnsiTheme="minorHAnsi" w:cstheme="minorHAnsi"/>
          <w:b/>
          <w:color w:val="auto"/>
          <w:sz w:val="20"/>
          <w:szCs w:val="20"/>
        </w:rPr>
        <w:t>1</w:t>
      </w:r>
      <w:r w:rsidRPr="009F6E4B">
        <w:rPr>
          <w:rFonts w:asciiTheme="minorHAnsi" w:hAnsiTheme="minorHAnsi" w:cstheme="minorHAnsi"/>
          <w:b/>
          <w:color w:val="auto"/>
          <w:sz w:val="20"/>
          <w:szCs w:val="20"/>
        </w:rPr>
        <w:t>.</w:t>
      </w:r>
      <w:r w:rsidR="005E231E" w:rsidRPr="009F6E4B">
        <w:rPr>
          <w:rFonts w:asciiTheme="minorHAnsi" w:hAnsiTheme="minorHAnsi" w:cstheme="minorHAnsi"/>
          <w:b/>
          <w:color w:val="auto"/>
          <w:sz w:val="20"/>
          <w:szCs w:val="20"/>
        </w:rPr>
        <w:t xml:space="preserve"> Calificaciones otorgadas:</w:t>
      </w:r>
      <w:bookmarkEnd w:id="13"/>
    </w:p>
    <w:p w14:paraId="67197CE9" w14:textId="77777777" w:rsidR="007D1E76" w:rsidRPr="009F6E4B" w:rsidRDefault="007D1E76" w:rsidP="00CB41C4">
      <w:pPr>
        <w:tabs>
          <w:tab w:val="left" w:leader="underscore" w:pos="9639"/>
        </w:tabs>
        <w:spacing w:after="0" w:line="240" w:lineRule="auto"/>
        <w:jc w:val="both"/>
        <w:rPr>
          <w:rFonts w:cs="Calibri"/>
          <w:sz w:val="20"/>
          <w:szCs w:val="20"/>
        </w:rPr>
      </w:pPr>
    </w:p>
    <w:p w14:paraId="57D9F68C"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Informar, tanto del ente público como cualquier transacción realizada, que haya sido sujeta a una calificación crediticia:</w:t>
      </w:r>
    </w:p>
    <w:p w14:paraId="33DC1236" w14:textId="77777777" w:rsidR="006A65AB" w:rsidRPr="009F6E4B" w:rsidRDefault="006A65AB" w:rsidP="000F0656">
      <w:pPr>
        <w:spacing w:after="0"/>
        <w:jc w:val="both"/>
        <w:rPr>
          <w:rFonts w:cs="Arial"/>
          <w:b/>
          <w:bCs/>
          <w:sz w:val="20"/>
          <w:szCs w:val="20"/>
        </w:rPr>
      </w:pPr>
    </w:p>
    <w:p w14:paraId="0F08B27E" w14:textId="611B6603" w:rsidR="006C61B4" w:rsidRDefault="006C61B4" w:rsidP="00D06A73">
      <w:pPr>
        <w:pStyle w:val="Default"/>
        <w:jc w:val="both"/>
        <w:rPr>
          <w:rFonts w:ascii="Calibri" w:hAnsi="Calibri"/>
          <w:sz w:val="20"/>
          <w:szCs w:val="20"/>
        </w:rPr>
      </w:pPr>
      <w:r w:rsidRPr="006C61B4">
        <w:rPr>
          <w:rFonts w:ascii="Calibri" w:hAnsi="Calibri"/>
          <w:b/>
          <w:bCs/>
          <w:color w:val="auto"/>
          <w:sz w:val="20"/>
          <w:szCs w:val="20"/>
          <w:lang w:eastAsia="en-US"/>
        </w:rPr>
        <w:t>HR Ratings ratificó la calificación de HR AA+ con Perspectiva Estable para el Municipio de Guanajuato, Estado de Guanajuato</w:t>
      </w:r>
      <w:r>
        <w:t xml:space="preserve">, </w:t>
      </w:r>
      <w:r w:rsidRPr="009E3E71">
        <w:rPr>
          <w:rFonts w:ascii="Calibri" w:hAnsi="Calibri"/>
          <w:sz w:val="20"/>
          <w:szCs w:val="20"/>
          <w:lang w:eastAsia="en-US"/>
        </w:rPr>
        <w:t xml:space="preserve">al </w:t>
      </w:r>
      <w:r w:rsidR="00910ABC">
        <w:rPr>
          <w:rFonts w:ascii="Calibri" w:hAnsi="Calibri"/>
          <w:sz w:val="20"/>
          <w:szCs w:val="20"/>
        </w:rPr>
        <w:t>31 de marzo 2026</w:t>
      </w:r>
      <w:r>
        <w:rPr>
          <w:rFonts w:ascii="Calibri" w:hAnsi="Calibri"/>
          <w:sz w:val="20"/>
          <w:szCs w:val="20"/>
        </w:rPr>
        <w:t>.</w:t>
      </w:r>
    </w:p>
    <w:p w14:paraId="27FBC4AF" w14:textId="77777777" w:rsidR="006C61B4" w:rsidRDefault="006C61B4" w:rsidP="00D06A73">
      <w:pPr>
        <w:pStyle w:val="Default"/>
        <w:jc w:val="both"/>
      </w:pPr>
    </w:p>
    <w:p w14:paraId="4E9F6D91" w14:textId="5BB44C23" w:rsidR="006C61B4" w:rsidRDefault="006C61B4" w:rsidP="00D06A73">
      <w:pPr>
        <w:pStyle w:val="Default"/>
        <w:jc w:val="both"/>
        <w:rPr>
          <w:rFonts w:ascii="Calibri" w:hAnsi="Calibri"/>
          <w:color w:val="auto"/>
          <w:sz w:val="20"/>
          <w:szCs w:val="20"/>
          <w:lang w:eastAsia="en-US"/>
        </w:rPr>
      </w:pPr>
      <w:r w:rsidRPr="006C61B4">
        <w:rPr>
          <w:rFonts w:ascii="Calibri" w:hAnsi="Calibri"/>
          <w:color w:val="auto"/>
          <w:sz w:val="20"/>
          <w:szCs w:val="20"/>
          <w:lang w:eastAsia="en-US"/>
        </w:rPr>
        <w:t>La ratificación de la calificación obedece al nulo uso de financiamiento que ha mantenido el Municipio en los últimos años, situación que se espera se mantenga durante los siguientes ejercicios fiscales. Entre 2024 y 2025, Guanajuato pasó de un Balance Primario (BP) a Ingresos Totales (IT) deficitario de 38.9% a un superávit del 2.0%, de acuerdo con un comportamiento atípico mostrado durante el ejercicio anterior en el Gasto del Municipio al invertir en programas y proyectos de fortalecimiento a la infraestructura de seguridad pública. Asimismo, la Entidad continuó con un comportamiento al alza en sus Ingresos de Libre Disposición (ILD), lo cual, aunado a que no se hizo uso de deuda de ningún tipo, se reflejó en una proporción de Deuda Neta (DN) a ILD negativa y en un Servicio de la Deuda (SD) nulo, comportamiento que se encuentra en línea con lo estimado durante la revisión anterior. Para el período entre 2026 y 2028, se estima que el Municipio mostrará un resultado deficitario promedio en BP equivalente a 0.9% de los IT, debido a un crecimiento en el Gasto Corriente municipal y a un decremento en los recursos obtenidos a través de Convenios Federales por un comportamiento extraordinario observado durante 2025. Sin embargo, en línea con la expectativa de continuar con una tendencia creciente en los ILD y de no recurrir al uso de créditos de corto o largo plazo, la DN a ILD sostendría niveles negativos, mientras que el Pasivo Circulante (PC) a ILD mostraría un valor promedio del 13.2%.</w:t>
      </w:r>
    </w:p>
    <w:p w14:paraId="7F320589" w14:textId="77777777" w:rsidR="00D06A73" w:rsidRPr="00D06A73" w:rsidRDefault="00D06A73" w:rsidP="00D06A73">
      <w:pPr>
        <w:pStyle w:val="Default"/>
        <w:jc w:val="both"/>
        <w:rPr>
          <w:rFonts w:ascii="Calibri" w:hAnsi="Calibri"/>
          <w:color w:val="auto"/>
          <w:sz w:val="20"/>
          <w:szCs w:val="20"/>
          <w:lang w:eastAsia="en-US"/>
        </w:rPr>
      </w:pPr>
    </w:p>
    <w:p w14:paraId="7817D49E" w14:textId="435C77E2" w:rsidR="00B61F45" w:rsidRPr="00B61F45" w:rsidRDefault="00B61F45" w:rsidP="009E3E71">
      <w:pPr>
        <w:pStyle w:val="heading--6"/>
        <w:shd w:val="clear" w:color="auto" w:fill="FFFFFF"/>
        <w:spacing w:before="0" w:beforeAutospacing="0"/>
        <w:rPr>
          <w:rFonts w:ascii="Arial" w:hAnsi="Arial" w:cs="Arial"/>
          <w:b/>
          <w:bCs/>
          <w:caps/>
          <w:color w:val="000000"/>
        </w:rPr>
      </w:pPr>
      <w:proofErr w:type="spellStart"/>
      <w:r w:rsidRPr="009E3E71">
        <w:rPr>
          <w:rFonts w:ascii="Calibri" w:eastAsia="Calibri" w:hAnsi="Calibri" w:cs="Arial"/>
          <w:b/>
          <w:sz w:val="20"/>
          <w:szCs w:val="20"/>
          <w:lang w:eastAsia="en-US"/>
        </w:rPr>
        <w:t>F</w:t>
      </w:r>
      <w:r w:rsidRPr="00B61F45">
        <w:rPr>
          <w:rFonts w:ascii="Calibri" w:eastAsia="Calibri" w:hAnsi="Calibri" w:cs="Arial"/>
          <w:b/>
          <w:sz w:val="20"/>
          <w:szCs w:val="20"/>
          <w:lang w:eastAsia="en-US"/>
        </w:rPr>
        <w:t>itch</w:t>
      </w:r>
      <w:proofErr w:type="spellEnd"/>
      <w:r w:rsidRPr="00B61F45">
        <w:rPr>
          <w:rFonts w:ascii="Calibri" w:eastAsia="Calibri" w:hAnsi="Calibri" w:cs="Arial"/>
          <w:b/>
          <w:sz w:val="20"/>
          <w:szCs w:val="20"/>
          <w:lang w:eastAsia="en-US"/>
        </w:rPr>
        <w:t xml:space="preserve"> Ratings afirmó la calificación nacional de largo plazo del municipio de Guanajuato, Guanajuato en </w:t>
      </w:r>
      <w:proofErr w:type="gramStart"/>
      <w:r w:rsidRPr="00B61F45">
        <w:rPr>
          <w:rFonts w:ascii="Calibri" w:eastAsia="Calibri" w:hAnsi="Calibri" w:cs="Arial"/>
          <w:b/>
          <w:sz w:val="20"/>
          <w:szCs w:val="20"/>
          <w:lang w:eastAsia="en-US"/>
        </w:rPr>
        <w:t>‘AAA(</w:t>
      </w:r>
      <w:proofErr w:type="spellStart"/>
      <w:proofErr w:type="gramEnd"/>
      <w:r w:rsidRPr="00B61F45">
        <w:rPr>
          <w:rFonts w:ascii="Calibri" w:eastAsia="Calibri" w:hAnsi="Calibri" w:cs="Arial"/>
          <w:b/>
          <w:sz w:val="20"/>
          <w:szCs w:val="20"/>
          <w:lang w:eastAsia="en-US"/>
        </w:rPr>
        <w:t>m</w:t>
      </w:r>
      <w:r w:rsidR="009E3E71" w:rsidRPr="009E3E71">
        <w:rPr>
          <w:rFonts w:ascii="Calibri" w:eastAsia="Calibri" w:hAnsi="Calibri" w:cs="Arial"/>
          <w:b/>
          <w:sz w:val="20"/>
          <w:szCs w:val="20"/>
          <w:lang w:eastAsia="en-US"/>
        </w:rPr>
        <w:t>ex</w:t>
      </w:r>
      <w:proofErr w:type="spellEnd"/>
      <w:r w:rsidR="009E3E71" w:rsidRPr="009E3E71">
        <w:rPr>
          <w:rFonts w:ascii="Calibri" w:eastAsia="Calibri" w:hAnsi="Calibri" w:cs="Arial"/>
          <w:b/>
          <w:sz w:val="20"/>
          <w:szCs w:val="20"/>
          <w:lang w:eastAsia="en-US"/>
        </w:rPr>
        <w:t>)’</w:t>
      </w:r>
      <w:r w:rsidR="009E3E71" w:rsidRPr="009E3E71">
        <w:rPr>
          <w:rFonts w:ascii="Calibri" w:eastAsia="Calibri" w:hAnsi="Calibri" w:cs="Arial"/>
          <w:sz w:val="20"/>
          <w:szCs w:val="20"/>
          <w:lang w:eastAsia="en-US"/>
        </w:rPr>
        <w:t xml:space="preserve">. La Perspectiva es Estable, al </w:t>
      </w:r>
      <w:r w:rsidR="009E3E71" w:rsidRPr="009E3E71">
        <w:rPr>
          <w:rFonts w:ascii="Calibri" w:hAnsi="Calibri" w:cs="Arial"/>
          <w:sz w:val="20"/>
          <w:szCs w:val="20"/>
        </w:rPr>
        <w:t>12 junio 2025</w:t>
      </w:r>
      <w:r w:rsidR="006C61B4">
        <w:rPr>
          <w:rFonts w:ascii="Calibri" w:hAnsi="Calibri" w:cs="Arial"/>
          <w:sz w:val="20"/>
          <w:szCs w:val="20"/>
        </w:rPr>
        <w:t>.</w:t>
      </w:r>
    </w:p>
    <w:p w14:paraId="4544A9A9" w14:textId="77777777" w:rsidR="00B61F45" w:rsidRPr="00B61F45" w:rsidRDefault="00B61F45" w:rsidP="00B61F45">
      <w:pPr>
        <w:shd w:val="clear" w:color="auto" w:fill="FFFFFF"/>
        <w:spacing w:after="100" w:afterAutospacing="1" w:line="240" w:lineRule="auto"/>
        <w:rPr>
          <w:rFonts w:cs="Arial"/>
          <w:sz w:val="20"/>
          <w:szCs w:val="20"/>
        </w:rPr>
      </w:pPr>
      <w:r w:rsidRPr="00B61F45">
        <w:rPr>
          <w:rFonts w:cs="Arial"/>
          <w:sz w:val="20"/>
          <w:szCs w:val="20"/>
        </w:rPr>
        <w:t xml:space="preserve">La ratificación de la calificación del municipio se sustenta en la estabilidad de las métricas de deuda proyectadas en el escenario de calificación de </w:t>
      </w:r>
      <w:proofErr w:type="spellStart"/>
      <w:r w:rsidRPr="00B61F45">
        <w:rPr>
          <w:rFonts w:cs="Arial"/>
          <w:sz w:val="20"/>
          <w:szCs w:val="20"/>
        </w:rPr>
        <w:t>Fitch</w:t>
      </w:r>
      <w:proofErr w:type="spellEnd"/>
      <w:r w:rsidRPr="00B61F45">
        <w:rPr>
          <w:rFonts w:cs="Arial"/>
          <w:sz w:val="20"/>
          <w:szCs w:val="20"/>
        </w:rPr>
        <w:t>, en combinación con una estabilidad en su generación de ingresos propios y una posición de liquidez favorable dado un endeudamiento inexistente. Asimismo, la calificación evalúa el perfil de riesgo en ‘Rango Medio Bajo’, un puntaje del perfil financiero en ‘</w:t>
      </w:r>
      <w:proofErr w:type="spellStart"/>
      <w:r w:rsidRPr="00B61F45">
        <w:rPr>
          <w:rFonts w:cs="Arial"/>
          <w:sz w:val="20"/>
          <w:szCs w:val="20"/>
        </w:rPr>
        <w:t>aaa</w:t>
      </w:r>
      <w:proofErr w:type="spellEnd"/>
      <w:r w:rsidRPr="00B61F45">
        <w:rPr>
          <w:rFonts w:cs="Arial"/>
          <w:sz w:val="20"/>
          <w:szCs w:val="20"/>
        </w:rPr>
        <w:t>’ y un análisis adecuado frente a entidades pares. La agencia no identificó factores adicionales con efecto sobre la calificación del municipio.</w:t>
      </w:r>
    </w:p>
    <w:p w14:paraId="58BC0457" w14:textId="3D0B4617" w:rsidR="00A15053" w:rsidRPr="009F6E4B" w:rsidRDefault="00B61F45" w:rsidP="00D06A73">
      <w:pPr>
        <w:shd w:val="clear" w:color="auto" w:fill="FFFFFF"/>
        <w:spacing w:after="100" w:afterAutospacing="1" w:line="240" w:lineRule="auto"/>
        <w:rPr>
          <w:rFonts w:cs="Arial"/>
          <w:sz w:val="20"/>
          <w:szCs w:val="20"/>
        </w:rPr>
      </w:pPr>
      <w:r w:rsidRPr="00B61F45">
        <w:rPr>
          <w:rFonts w:cs="Arial"/>
          <w:sz w:val="20"/>
          <w:szCs w:val="20"/>
        </w:rPr>
        <w:t xml:space="preserve">La Perspectiva Estable refleja la expectativa de </w:t>
      </w:r>
      <w:proofErr w:type="spellStart"/>
      <w:r w:rsidRPr="00B61F45">
        <w:rPr>
          <w:rFonts w:cs="Arial"/>
          <w:sz w:val="20"/>
          <w:szCs w:val="20"/>
        </w:rPr>
        <w:t>Fitch</w:t>
      </w:r>
      <w:proofErr w:type="spellEnd"/>
      <w:r w:rsidRPr="00B61F45">
        <w:rPr>
          <w:rFonts w:cs="Arial"/>
          <w:sz w:val="20"/>
          <w:szCs w:val="20"/>
        </w:rPr>
        <w:t xml:space="preserve"> de que las métricas de endeudamiento se mantendrán dentro de las proyecciones.</w:t>
      </w:r>
    </w:p>
    <w:p w14:paraId="10B4C763" w14:textId="7FFDB478" w:rsidR="007D1E76" w:rsidRPr="009F6E4B" w:rsidRDefault="007D1E76" w:rsidP="000C3365">
      <w:pPr>
        <w:pStyle w:val="Ttulo2"/>
        <w:rPr>
          <w:rFonts w:asciiTheme="minorHAnsi" w:hAnsiTheme="minorHAnsi" w:cstheme="minorHAnsi"/>
          <w:b/>
          <w:color w:val="auto"/>
          <w:sz w:val="20"/>
          <w:szCs w:val="20"/>
        </w:rPr>
      </w:pPr>
      <w:bookmarkStart w:id="14" w:name="_Toc227665769"/>
      <w:r w:rsidRPr="009F6E4B">
        <w:rPr>
          <w:rFonts w:asciiTheme="minorHAnsi" w:hAnsiTheme="minorHAnsi" w:cstheme="minorHAnsi"/>
          <w:b/>
          <w:color w:val="auto"/>
          <w:sz w:val="20"/>
          <w:szCs w:val="20"/>
        </w:rPr>
        <w:t>1</w:t>
      </w:r>
      <w:r w:rsidR="00F6759B" w:rsidRPr="009F6E4B">
        <w:rPr>
          <w:rFonts w:asciiTheme="minorHAnsi" w:hAnsiTheme="minorHAnsi" w:cstheme="minorHAnsi"/>
          <w:b/>
          <w:color w:val="auto"/>
          <w:sz w:val="20"/>
          <w:szCs w:val="20"/>
        </w:rPr>
        <w:t>2</w:t>
      </w:r>
      <w:r w:rsidRPr="009F6E4B">
        <w:rPr>
          <w:rFonts w:asciiTheme="minorHAnsi" w:hAnsiTheme="minorHAnsi" w:cstheme="minorHAnsi"/>
          <w:b/>
          <w:color w:val="auto"/>
          <w:sz w:val="20"/>
          <w:szCs w:val="20"/>
        </w:rPr>
        <w:t>. Proceso de Mejora:</w:t>
      </w:r>
      <w:bookmarkEnd w:id="14"/>
    </w:p>
    <w:p w14:paraId="0251CC47" w14:textId="77777777" w:rsidR="007D1E76" w:rsidRPr="009F6E4B" w:rsidRDefault="007D1E76" w:rsidP="00CB41C4">
      <w:pPr>
        <w:tabs>
          <w:tab w:val="left" w:leader="underscore" w:pos="9639"/>
        </w:tabs>
        <w:spacing w:after="0" w:line="240" w:lineRule="auto"/>
        <w:jc w:val="both"/>
        <w:rPr>
          <w:rFonts w:cs="Calibri"/>
          <w:sz w:val="20"/>
          <w:szCs w:val="20"/>
        </w:rPr>
      </w:pPr>
    </w:p>
    <w:p w14:paraId="171672D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informará de:</w:t>
      </w:r>
    </w:p>
    <w:p w14:paraId="533FB084" w14:textId="77777777" w:rsidR="007D1E76" w:rsidRPr="009F6E4B" w:rsidRDefault="007D1E76" w:rsidP="00CB41C4">
      <w:pPr>
        <w:tabs>
          <w:tab w:val="left" w:leader="underscore" w:pos="9639"/>
        </w:tabs>
        <w:spacing w:after="0" w:line="240" w:lineRule="auto"/>
        <w:jc w:val="both"/>
        <w:rPr>
          <w:rFonts w:cs="Calibri"/>
          <w:sz w:val="20"/>
          <w:szCs w:val="20"/>
        </w:rPr>
      </w:pPr>
    </w:p>
    <w:p w14:paraId="4D639AB5"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a) Principales Políticas de control interno:</w:t>
      </w:r>
    </w:p>
    <w:p w14:paraId="1BD51D41" w14:textId="77777777" w:rsidR="007D1E76" w:rsidRPr="009F6E4B" w:rsidRDefault="007D1E76" w:rsidP="00CB41C4">
      <w:pPr>
        <w:tabs>
          <w:tab w:val="left" w:leader="underscore" w:pos="9639"/>
        </w:tabs>
        <w:spacing w:after="0" w:line="240" w:lineRule="auto"/>
        <w:jc w:val="both"/>
        <w:rPr>
          <w:rFonts w:cs="Calibri"/>
          <w:sz w:val="20"/>
          <w:szCs w:val="20"/>
        </w:rPr>
      </w:pPr>
    </w:p>
    <w:p w14:paraId="123B7220" w14:textId="77C21DCF" w:rsidR="000F0656" w:rsidRPr="009F6E4B" w:rsidRDefault="000F0656" w:rsidP="000F0656">
      <w:pPr>
        <w:spacing w:after="0"/>
        <w:jc w:val="both"/>
        <w:rPr>
          <w:rFonts w:cs="Calibri"/>
          <w:sz w:val="20"/>
          <w:szCs w:val="20"/>
        </w:rPr>
      </w:pPr>
      <w:r w:rsidRPr="009F6E4B">
        <w:rPr>
          <w:rFonts w:cs="Arial"/>
          <w:sz w:val="20"/>
          <w:szCs w:val="20"/>
        </w:rPr>
        <w:t>Apego estricto a los Lineamientos Generales de Aust</w:t>
      </w:r>
      <w:r w:rsidR="00CA6F8A">
        <w:rPr>
          <w:rFonts w:cs="Arial"/>
          <w:sz w:val="20"/>
          <w:szCs w:val="20"/>
        </w:rPr>
        <w:t>eridad y de Control Interno 2025</w:t>
      </w:r>
      <w:r w:rsidRPr="009F6E4B">
        <w:rPr>
          <w:rFonts w:cs="Arial"/>
          <w:sz w:val="20"/>
          <w:szCs w:val="20"/>
        </w:rPr>
        <w:t xml:space="preserve"> y Disposiciones Administrativas vigentes.</w:t>
      </w:r>
    </w:p>
    <w:p w14:paraId="34894C28" w14:textId="77777777" w:rsidR="000F0656" w:rsidRPr="009F6E4B" w:rsidRDefault="000F0656" w:rsidP="00CB41C4">
      <w:pPr>
        <w:tabs>
          <w:tab w:val="left" w:leader="underscore" w:pos="9639"/>
        </w:tabs>
        <w:spacing w:after="0" w:line="240" w:lineRule="auto"/>
        <w:jc w:val="both"/>
        <w:rPr>
          <w:rFonts w:cs="Calibri"/>
          <w:sz w:val="20"/>
          <w:szCs w:val="20"/>
        </w:rPr>
      </w:pPr>
    </w:p>
    <w:p w14:paraId="59CFF4B2" w14:textId="77777777" w:rsidR="007D1E76" w:rsidRPr="009F6E4B" w:rsidRDefault="007D1E76" w:rsidP="00CB41C4">
      <w:pPr>
        <w:tabs>
          <w:tab w:val="left" w:leader="underscore" w:pos="9639"/>
        </w:tabs>
        <w:spacing w:after="0" w:line="240" w:lineRule="auto"/>
        <w:jc w:val="both"/>
        <w:rPr>
          <w:rFonts w:cs="Calibri"/>
          <w:b/>
          <w:sz w:val="20"/>
          <w:szCs w:val="20"/>
        </w:rPr>
      </w:pPr>
      <w:r w:rsidRPr="009F6E4B">
        <w:rPr>
          <w:rFonts w:cs="Calibri"/>
          <w:b/>
          <w:sz w:val="20"/>
          <w:szCs w:val="20"/>
        </w:rPr>
        <w:t>b) Medidas de desempeño financiero, metas y alcance:</w:t>
      </w:r>
    </w:p>
    <w:p w14:paraId="1B5AEEC8" w14:textId="77777777" w:rsidR="00592A6D" w:rsidRPr="009F6E4B" w:rsidRDefault="00592A6D" w:rsidP="00D77245">
      <w:pPr>
        <w:spacing w:after="0"/>
        <w:jc w:val="both"/>
        <w:rPr>
          <w:rFonts w:cs="Arial"/>
          <w:sz w:val="20"/>
          <w:szCs w:val="20"/>
        </w:rPr>
      </w:pPr>
    </w:p>
    <w:p w14:paraId="524E4B7B" w14:textId="74AC919B" w:rsidR="00D77245" w:rsidRPr="009F6E4B" w:rsidRDefault="00D77245" w:rsidP="00D77245">
      <w:pPr>
        <w:spacing w:after="0"/>
        <w:jc w:val="both"/>
        <w:rPr>
          <w:rFonts w:cs="Calibri"/>
          <w:sz w:val="20"/>
          <w:szCs w:val="20"/>
        </w:rPr>
      </w:pPr>
      <w:r w:rsidRPr="009F6E4B">
        <w:rPr>
          <w:rFonts w:cs="Arial"/>
          <w:sz w:val="20"/>
          <w:szCs w:val="20"/>
        </w:rPr>
        <w:t>Se considera siempre el presupuesto aprobado por el H. Ayuntamiento, para la medición del desempeño financiero, los avances de las metas y sus alcances.</w:t>
      </w:r>
    </w:p>
    <w:p w14:paraId="6DD757EA" w14:textId="77777777" w:rsidR="007D1E76" w:rsidRPr="009F6E4B" w:rsidRDefault="007D1E76" w:rsidP="00CB41C4">
      <w:pPr>
        <w:tabs>
          <w:tab w:val="left" w:leader="underscore" w:pos="9639"/>
        </w:tabs>
        <w:spacing w:after="0" w:line="240" w:lineRule="auto"/>
        <w:jc w:val="both"/>
        <w:rPr>
          <w:rFonts w:cs="Calibri"/>
          <w:sz w:val="20"/>
          <w:szCs w:val="20"/>
        </w:rPr>
      </w:pPr>
    </w:p>
    <w:p w14:paraId="3D010C2A" w14:textId="279F5D07" w:rsidR="007D1E76" w:rsidRPr="009F6E4B" w:rsidRDefault="007D1E76" w:rsidP="000C3365">
      <w:pPr>
        <w:pStyle w:val="Ttulo2"/>
        <w:rPr>
          <w:rFonts w:asciiTheme="minorHAnsi" w:hAnsiTheme="minorHAnsi" w:cstheme="minorHAnsi"/>
          <w:b/>
          <w:color w:val="auto"/>
          <w:sz w:val="20"/>
          <w:szCs w:val="20"/>
        </w:rPr>
      </w:pPr>
      <w:bookmarkStart w:id="15" w:name="_Toc227665770"/>
      <w:r w:rsidRPr="009F6E4B">
        <w:rPr>
          <w:rFonts w:asciiTheme="minorHAnsi" w:hAnsiTheme="minorHAnsi" w:cstheme="minorHAnsi"/>
          <w:b/>
          <w:color w:val="auto"/>
          <w:sz w:val="20"/>
          <w:szCs w:val="20"/>
        </w:rPr>
        <w:t>1</w:t>
      </w:r>
      <w:r w:rsidR="00F6759B" w:rsidRPr="009F6E4B">
        <w:rPr>
          <w:rFonts w:asciiTheme="minorHAnsi" w:hAnsiTheme="minorHAnsi" w:cstheme="minorHAnsi"/>
          <w:b/>
          <w:color w:val="auto"/>
          <w:sz w:val="20"/>
          <w:szCs w:val="20"/>
        </w:rPr>
        <w:t>3</w:t>
      </w:r>
      <w:r w:rsidR="005E231E" w:rsidRPr="009F6E4B">
        <w:rPr>
          <w:rFonts w:asciiTheme="minorHAnsi" w:hAnsiTheme="minorHAnsi" w:cstheme="minorHAnsi"/>
          <w:b/>
          <w:color w:val="auto"/>
          <w:sz w:val="20"/>
          <w:szCs w:val="20"/>
        </w:rPr>
        <w:t>. Información por Segmentos:</w:t>
      </w:r>
      <w:bookmarkEnd w:id="15"/>
    </w:p>
    <w:p w14:paraId="6C3C6A04" w14:textId="77777777" w:rsidR="007D1E76" w:rsidRPr="009F6E4B" w:rsidRDefault="007D1E76" w:rsidP="00CB41C4">
      <w:pPr>
        <w:tabs>
          <w:tab w:val="left" w:leader="underscore" w:pos="9639"/>
        </w:tabs>
        <w:spacing w:after="0" w:line="240" w:lineRule="auto"/>
        <w:jc w:val="both"/>
        <w:rPr>
          <w:rFonts w:cs="Calibri"/>
          <w:sz w:val="20"/>
          <w:szCs w:val="20"/>
        </w:rPr>
      </w:pPr>
    </w:p>
    <w:p w14:paraId="64BC1596" w14:textId="46D52ADD" w:rsidR="007D1E76" w:rsidRPr="009F6E4B" w:rsidRDefault="00806269" w:rsidP="00CB41C4">
      <w:pPr>
        <w:tabs>
          <w:tab w:val="left" w:leader="underscore" w:pos="9639"/>
        </w:tabs>
        <w:spacing w:after="0" w:line="240" w:lineRule="auto"/>
        <w:jc w:val="both"/>
        <w:rPr>
          <w:rFonts w:cs="Calibri"/>
          <w:sz w:val="20"/>
          <w:szCs w:val="20"/>
        </w:rPr>
      </w:pPr>
      <w:r w:rsidRPr="009F6E4B">
        <w:rPr>
          <w:rFonts w:cs="Calibri"/>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9F6E4B">
        <w:rPr>
          <w:rFonts w:cs="Calibri"/>
          <w:sz w:val="20"/>
          <w:szCs w:val="20"/>
        </w:rPr>
        <w:t>.</w:t>
      </w:r>
    </w:p>
    <w:p w14:paraId="1E94F855" w14:textId="77777777" w:rsidR="007D1E76" w:rsidRPr="009F6E4B" w:rsidRDefault="007D1E76" w:rsidP="00CB41C4">
      <w:pPr>
        <w:tabs>
          <w:tab w:val="left" w:leader="underscore" w:pos="9639"/>
        </w:tabs>
        <w:spacing w:after="0" w:line="240" w:lineRule="auto"/>
        <w:jc w:val="both"/>
        <w:rPr>
          <w:rFonts w:cs="Calibri"/>
          <w:sz w:val="20"/>
          <w:szCs w:val="20"/>
        </w:rPr>
      </w:pPr>
    </w:p>
    <w:p w14:paraId="54078A60"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Consecuentemente, esta información contribuye al análisis más preciso de la situación financiera, grados y fuentes de riesgo y crec</w:t>
      </w:r>
      <w:r w:rsidR="005E231E" w:rsidRPr="009F6E4B">
        <w:rPr>
          <w:rFonts w:cs="Calibri"/>
          <w:sz w:val="20"/>
          <w:szCs w:val="20"/>
        </w:rPr>
        <w:t>imiento potencial de negocio.</w:t>
      </w:r>
    </w:p>
    <w:p w14:paraId="4054793D" w14:textId="77777777" w:rsidR="007D1E76" w:rsidRPr="009F6E4B" w:rsidRDefault="007D1E76" w:rsidP="00CB41C4">
      <w:pPr>
        <w:tabs>
          <w:tab w:val="left" w:leader="underscore" w:pos="9639"/>
        </w:tabs>
        <w:spacing w:after="0" w:line="240" w:lineRule="auto"/>
        <w:jc w:val="both"/>
        <w:rPr>
          <w:rFonts w:cs="Calibri"/>
          <w:sz w:val="20"/>
          <w:szCs w:val="20"/>
        </w:rPr>
      </w:pPr>
    </w:p>
    <w:p w14:paraId="67988063" w14:textId="77777777" w:rsidR="00D77245" w:rsidRPr="009F6E4B" w:rsidRDefault="00D77245" w:rsidP="00D77245">
      <w:pPr>
        <w:spacing w:after="0"/>
        <w:jc w:val="both"/>
        <w:rPr>
          <w:rFonts w:cs="Calibri"/>
          <w:sz w:val="20"/>
          <w:szCs w:val="20"/>
        </w:rPr>
      </w:pPr>
      <w:r w:rsidRPr="009F6E4B">
        <w:rPr>
          <w:rFonts w:cs="Arial"/>
          <w:sz w:val="20"/>
          <w:szCs w:val="20"/>
        </w:rPr>
        <w:t>No se maneja la emisión de la información financiera en base a segmentos</w:t>
      </w:r>
    </w:p>
    <w:p w14:paraId="03BBF660" w14:textId="77777777" w:rsidR="007D1E76" w:rsidRPr="009F6E4B" w:rsidRDefault="007D1E76" w:rsidP="00CB41C4">
      <w:pPr>
        <w:tabs>
          <w:tab w:val="left" w:leader="underscore" w:pos="9639"/>
        </w:tabs>
        <w:spacing w:after="0" w:line="240" w:lineRule="auto"/>
        <w:jc w:val="both"/>
        <w:rPr>
          <w:rFonts w:cs="Calibri"/>
          <w:sz w:val="20"/>
          <w:szCs w:val="20"/>
        </w:rPr>
      </w:pPr>
    </w:p>
    <w:p w14:paraId="5CE772DA" w14:textId="7AAD6A4E" w:rsidR="007D1E76" w:rsidRPr="009F6E4B" w:rsidRDefault="007D1E76" w:rsidP="000C3365">
      <w:pPr>
        <w:pStyle w:val="Ttulo2"/>
        <w:rPr>
          <w:rFonts w:asciiTheme="minorHAnsi" w:hAnsiTheme="minorHAnsi" w:cstheme="minorHAnsi"/>
          <w:b/>
          <w:color w:val="auto"/>
          <w:sz w:val="20"/>
          <w:szCs w:val="20"/>
        </w:rPr>
      </w:pPr>
      <w:bookmarkStart w:id="16" w:name="_Toc227665771"/>
      <w:r w:rsidRPr="009F6E4B">
        <w:rPr>
          <w:rFonts w:asciiTheme="minorHAnsi" w:hAnsiTheme="minorHAnsi" w:cstheme="minorHAnsi"/>
          <w:b/>
          <w:color w:val="auto"/>
          <w:sz w:val="20"/>
          <w:szCs w:val="20"/>
        </w:rPr>
        <w:t>1</w:t>
      </w:r>
      <w:r w:rsidR="004A1077" w:rsidRPr="009F6E4B">
        <w:rPr>
          <w:rFonts w:asciiTheme="minorHAnsi" w:hAnsiTheme="minorHAnsi" w:cstheme="minorHAnsi"/>
          <w:b/>
          <w:color w:val="auto"/>
          <w:sz w:val="20"/>
          <w:szCs w:val="20"/>
        </w:rPr>
        <w:t>4</w:t>
      </w:r>
      <w:r w:rsidRPr="009F6E4B">
        <w:rPr>
          <w:rFonts w:asciiTheme="minorHAnsi" w:hAnsiTheme="minorHAnsi" w:cstheme="minorHAnsi"/>
          <w:b/>
          <w:color w:val="auto"/>
          <w:sz w:val="20"/>
          <w:szCs w:val="20"/>
        </w:rPr>
        <w:t>. E</w:t>
      </w:r>
      <w:r w:rsidR="005E231E" w:rsidRPr="009F6E4B">
        <w:rPr>
          <w:rFonts w:asciiTheme="minorHAnsi" w:hAnsiTheme="minorHAnsi" w:cstheme="minorHAnsi"/>
          <w:b/>
          <w:color w:val="auto"/>
          <w:sz w:val="20"/>
          <w:szCs w:val="20"/>
        </w:rPr>
        <w:t>ventos Posteriores al Cierre:</w:t>
      </w:r>
      <w:bookmarkEnd w:id="16"/>
    </w:p>
    <w:p w14:paraId="362DF4F4" w14:textId="77777777" w:rsidR="007D1E76" w:rsidRPr="009F6E4B" w:rsidRDefault="007D1E76" w:rsidP="00CB41C4">
      <w:pPr>
        <w:tabs>
          <w:tab w:val="left" w:leader="underscore" w:pos="9639"/>
        </w:tabs>
        <w:spacing w:after="0" w:line="240" w:lineRule="auto"/>
        <w:jc w:val="both"/>
        <w:rPr>
          <w:rFonts w:cs="Calibri"/>
          <w:sz w:val="20"/>
          <w:szCs w:val="20"/>
        </w:rPr>
      </w:pPr>
    </w:p>
    <w:p w14:paraId="1F33DAF4" w14:textId="2A6097C0" w:rsidR="00D77245" w:rsidRPr="009F6E4B" w:rsidRDefault="007D1E76" w:rsidP="001C34BC">
      <w:pPr>
        <w:tabs>
          <w:tab w:val="left" w:leader="underscore" w:pos="9639"/>
        </w:tabs>
        <w:spacing w:after="0" w:line="240" w:lineRule="auto"/>
        <w:jc w:val="both"/>
        <w:rPr>
          <w:rFonts w:cs="Calibri"/>
          <w:sz w:val="20"/>
          <w:szCs w:val="20"/>
        </w:rPr>
      </w:pPr>
      <w:r w:rsidRPr="009F6E4B">
        <w:rPr>
          <w:rFonts w:cs="Calibri"/>
          <w:sz w:val="20"/>
          <w:szCs w:val="20"/>
        </w:rPr>
        <w:t>El ente público informará el efecto en sus estados financieros de aquellos hechos ocurridos en el período posterior al que informa, que proporcionan mayor evidencia sobre eventos que le afectan económicamente y que no se cono</w:t>
      </w:r>
      <w:r w:rsidR="005E231E" w:rsidRPr="009F6E4B">
        <w:rPr>
          <w:rFonts w:cs="Calibri"/>
          <w:sz w:val="20"/>
          <w:szCs w:val="20"/>
        </w:rPr>
        <w:t>cían a la fecha de cierre.</w:t>
      </w:r>
      <w:r w:rsidR="005E231E" w:rsidRPr="009F6E4B">
        <w:rPr>
          <w:rFonts w:cs="Calibri"/>
          <w:sz w:val="20"/>
          <w:szCs w:val="20"/>
        </w:rPr>
        <w:cr/>
      </w:r>
    </w:p>
    <w:p w14:paraId="6268D065" w14:textId="77777777" w:rsidR="001C34BC" w:rsidRPr="009F6E4B" w:rsidRDefault="001C34BC" w:rsidP="001C34BC">
      <w:pPr>
        <w:tabs>
          <w:tab w:val="left" w:leader="underscore" w:pos="9639"/>
        </w:tabs>
        <w:spacing w:after="0" w:line="240" w:lineRule="auto"/>
        <w:jc w:val="both"/>
        <w:rPr>
          <w:rFonts w:cs="Calibri"/>
          <w:sz w:val="20"/>
          <w:szCs w:val="20"/>
        </w:rPr>
      </w:pPr>
    </w:p>
    <w:p w14:paraId="3CC9AECC" w14:textId="4681A2A9" w:rsidR="007D1E76" w:rsidRPr="009F6E4B" w:rsidRDefault="005E231E" w:rsidP="000C3365">
      <w:pPr>
        <w:pStyle w:val="Ttulo2"/>
        <w:rPr>
          <w:rFonts w:asciiTheme="minorHAnsi" w:hAnsiTheme="minorHAnsi" w:cstheme="minorHAnsi"/>
          <w:b/>
          <w:color w:val="auto"/>
          <w:sz w:val="20"/>
          <w:szCs w:val="20"/>
        </w:rPr>
      </w:pPr>
      <w:bookmarkStart w:id="17" w:name="_Toc227665772"/>
      <w:r w:rsidRPr="009F6E4B">
        <w:rPr>
          <w:rFonts w:asciiTheme="minorHAnsi" w:hAnsiTheme="minorHAnsi" w:cstheme="minorHAnsi"/>
          <w:b/>
          <w:color w:val="auto"/>
          <w:sz w:val="20"/>
          <w:szCs w:val="20"/>
        </w:rPr>
        <w:t>1</w:t>
      </w:r>
      <w:r w:rsidR="001C34BC" w:rsidRPr="009F6E4B">
        <w:rPr>
          <w:rFonts w:asciiTheme="minorHAnsi" w:hAnsiTheme="minorHAnsi" w:cstheme="minorHAnsi"/>
          <w:b/>
          <w:color w:val="auto"/>
          <w:sz w:val="20"/>
          <w:szCs w:val="20"/>
        </w:rPr>
        <w:t>5</w:t>
      </w:r>
      <w:r w:rsidRPr="009F6E4B">
        <w:rPr>
          <w:rFonts w:asciiTheme="minorHAnsi" w:hAnsiTheme="minorHAnsi" w:cstheme="minorHAnsi"/>
          <w:b/>
          <w:color w:val="auto"/>
          <w:sz w:val="20"/>
          <w:szCs w:val="20"/>
        </w:rPr>
        <w:t>. Partes Relacionadas:</w:t>
      </w:r>
      <w:bookmarkEnd w:id="17"/>
    </w:p>
    <w:p w14:paraId="20438A33" w14:textId="77777777" w:rsidR="007D1E76" w:rsidRPr="009F6E4B" w:rsidRDefault="007D1E76" w:rsidP="00CB41C4">
      <w:pPr>
        <w:tabs>
          <w:tab w:val="left" w:leader="underscore" w:pos="9639"/>
        </w:tabs>
        <w:spacing w:after="0" w:line="240" w:lineRule="auto"/>
        <w:jc w:val="both"/>
        <w:rPr>
          <w:rFonts w:cs="Calibri"/>
          <w:sz w:val="20"/>
          <w:szCs w:val="20"/>
        </w:rPr>
      </w:pPr>
    </w:p>
    <w:p w14:paraId="5A1981F2" w14:textId="77777777" w:rsidR="007D1E76" w:rsidRPr="009F6E4B" w:rsidRDefault="007D1E76" w:rsidP="00CB41C4">
      <w:pPr>
        <w:tabs>
          <w:tab w:val="left" w:leader="underscore" w:pos="9639"/>
        </w:tabs>
        <w:spacing w:after="0" w:line="240" w:lineRule="auto"/>
        <w:jc w:val="both"/>
        <w:rPr>
          <w:rFonts w:cs="Calibri"/>
          <w:sz w:val="20"/>
          <w:szCs w:val="20"/>
        </w:rPr>
      </w:pPr>
      <w:r w:rsidRPr="009F6E4B">
        <w:rPr>
          <w:rFonts w:cs="Calibri"/>
          <w:sz w:val="20"/>
          <w:szCs w:val="20"/>
        </w:rPr>
        <w:t>Se debe establecer por escrito que no existen partes relacionadas que pudieran ejercer influencia significativa sobre la toma de decisiones financieras y operativas:</w:t>
      </w:r>
    </w:p>
    <w:p w14:paraId="17CEED12" w14:textId="77777777" w:rsidR="007D1E76" w:rsidRPr="009F6E4B" w:rsidRDefault="007D1E76" w:rsidP="00CB41C4">
      <w:pPr>
        <w:tabs>
          <w:tab w:val="left" w:leader="underscore" w:pos="9639"/>
        </w:tabs>
        <w:spacing w:after="0" w:line="240" w:lineRule="auto"/>
        <w:jc w:val="both"/>
        <w:rPr>
          <w:rFonts w:cs="Calibri"/>
          <w:sz w:val="20"/>
          <w:szCs w:val="20"/>
        </w:rPr>
      </w:pPr>
    </w:p>
    <w:p w14:paraId="6CD6F899" w14:textId="77777777" w:rsidR="00D77245" w:rsidRPr="009F6E4B" w:rsidRDefault="00D77245" w:rsidP="00D77245">
      <w:pPr>
        <w:spacing w:after="0"/>
        <w:jc w:val="both"/>
        <w:rPr>
          <w:rFonts w:cs="Calibri"/>
          <w:sz w:val="20"/>
          <w:szCs w:val="20"/>
        </w:rPr>
      </w:pPr>
      <w:r w:rsidRPr="009F6E4B">
        <w:rPr>
          <w:rFonts w:cs="Arial"/>
          <w:sz w:val="20"/>
          <w:szCs w:val="20"/>
        </w:rPr>
        <w:t>No existen partes relacionadas que pudieran ejercer influencia significativa sobre la toma de decisiones financieras y operativas.</w:t>
      </w:r>
    </w:p>
    <w:p w14:paraId="60C47C07" w14:textId="77777777" w:rsidR="00D77245" w:rsidRPr="009F6E4B" w:rsidRDefault="00D77245" w:rsidP="00CB41C4">
      <w:pPr>
        <w:tabs>
          <w:tab w:val="left" w:leader="underscore" w:pos="9639"/>
        </w:tabs>
        <w:spacing w:after="0" w:line="240" w:lineRule="auto"/>
        <w:jc w:val="both"/>
        <w:rPr>
          <w:rFonts w:cs="Calibri"/>
          <w:sz w:val="20"/>
          <w:szCs w:val="20"/>
        </w:rPr>
      </w:pPr>
    </w:p>
    <w:p w14:paraId="1DFBBA85" w14:textId="77777777" w:rsidR="006A65AB" w:rsidRPr="009F6E4B" w:rsidRDefault="006A65AB" w:rsidP="00CB41C4">
      <w:pPr>
        <w:tabs>
          <w:tab w:val="left" w:leader="underscore" w:pos="9639"/>
        </w:tabs>
        <w:spacing w:after="0" w:line="240" w:lineRule="auto"/>
        <w:jc w:val="both"/>
        <w:rPr>
          <w:rFonts w:cs="Calibri"/>
          <w:sz w:val="20"/>
          <w:szCs w:val="20"/>
        </w:rPr>
      </w:pPr>
    </w:p>
    <w:p w14:paraId="24905817" w14:textId="15CB9212" w:rsidR="007D1E76" w:rsidRPr="009F6E4B" w:rsidRDefault="007D1E76" w:rsidP="006A65AB">
      <w:pPr>
        <w:pStyle w:val="Ttulo2"/>
        <w:rPr>
          <w:rFonts w:cs="Calibri"/>
          <w:sz w:val="20"/>
          <w:szCs w:val="20"/>
        </w:rPr>
      </w:pPr>
      <w:bookmarkStart w:id="18" w:name="_Toc227665773"/>
      <w:r w:rsidRPr="009F6E4B">
        <w:rPr>
          <w:rFonts w:asciiTheme="minorHAnsi" w:hAnsiTheme="minorHAnsi" w:cstheme="minorHAnsi"/>
          <w:b/>
          <w:color w:val="auto"/>
          <w:sz w:val="20"/>
          <w:szCs w:val="20"/>
        </w:rPr>
        <w:lastRenderedPageBreak/>
        <w:t>1</w:t>
      </w:r>
      <w:r w:rsidR="001C34BC" w:rsidRPr="009F6E4B">
        <w:rPr>
          <w:rFonts w:asciiTheme="minorHAnsi" w:hAnsiTheme="minorHAnsi" w:cstheme="minorHAnsi"/>
          <w:b/>
          <w:color w:val="auto"/>
          <w:sz w:val="20"/>
          <w:szCs w:val="20"/>
        </w:rPr>
        <w:t>6</w:t>
      </w:r>
      <w:r w:rsidRPr="009F6E4B">
        <w:rPr>
          <w:rFonts w:asciiTheme="minorHAnsi" w:hAnsiTheme="minorHAnsi" w:cstheme="minorHAnsi"/>
          <w:b/>
          <w:color w:val="auto"/>
          <w:sz w:val="20"/>
          <w:szCs w:val="20"/>
        </w:rPr>
        <w:t xml:space="preserve">. </w:t>
      </w:r>
      <w:r w:rsidR="001973A2" w:rsidRPr="009F6E4B">
        <w:rPr>
          <w:rFonts w:asciiTheme="minorHAnsi" w:hAnsiTheme="minorHAnsi" w:cstheme="minorHAnsi"/>
          <w:b/>
          <w:color w:val="auto"/>
          <w:sz w:val="20"/>
          <w:szCs w:val="20"/>
        </w:rPr>
        <w:t>Responsabilidad Sobre la Presentación Razonable de la Información Contable</w:t>
      </w:r>
      <w:r w:rsidR="005E231E" w:rsidRPr="009F6E4B">
        <w:rPr>
          <w:rFonts w:asciiTheme="minorHAnsi" w:hAnsiTheme="minorHAnsi" w:cstheme="minorHAnsi"/>
          <w:b/>
          <w:color w:val="auto"/>
          <w:sz w:val="20"/>
          <w:szCs w:val="20"/>
        </w:rPr>
        <w:t>:</w:t>
      </w:r>
      <w:bookmarkEnd w:id="18"/>
    </w:p>
    <w:p w14:paraId="2932D01B" w14:textId="77777777" w:rsidR="006A65AB" w:rsidRPr="009F6E4B" w:rsidRDefault="006A65AB" w:rsidP="00CB41C4">
      <w:pPr>
        <w:tabs>
          <w:tab w:val="left" w:leader="underscore" w:pos="9639"/>
        </w:tabs>
        <w:spacing w:after="0" w:line="240" w:lineRule="auto"/>
        <w:jc w:val="both"/>
        <w:rPr>
          <w:rFonts w:cs="Calibri"/>
          <w:sz w:val="20"/>
          <w:szCs w:val="20"/>
        </w:rPr>
      </w:pPr>
    </w:p>
    <w:p w14:paraId="7AD6BFD9" w14:textId="77777777" w:rsidR="006A65AB" w:rsidRPr="009F6E4B" w:rsidRDefault="006A65AB" w:rsidP="00CB41C4">
      <w:pPr>
        <w:tabs>
          <w:tab w:val="left" w:leader="underscore" w:pos="9639"/>
        </w:tabs>
        <w:spacing w:after="0" w:line="240" w:lineRule="auto"/>
        <w:jc w:val="both"/>
        <w:rPr>
          <w:rFonts w:cs="Calibri"/>
          <w:sz w:val="20"/>
          <w:szCs w:val="20"/>
        </w:rPr>
      </w:pPr>
    </w:p>
    <w:p w14:paraId="50903296" w14:textId="1D665BA6" w:rsidR="007D1E76" w:rsidRPr="009F6E4B" w:rsidRDefault="00C4625D" w:rsidP="00CB41C4">
      <w:pPr>
        <w:tabs>
          <w:tab w:val="left" w:leader="underscore" w:pos="9639"/>
        </w:tabs>
        <w:spacing w:after="0" w:line="240" w:lineRule="auto"/>
        <w:jc w:val="both"/>
        <w:rPr>
          <w:rFonts w:cs="Calibri"/>
          <w:sz w:val="20"/>
          <w:szCs w:val="20"/>
        </w:rPr>
      </w:pPr>
      <w:r w:rsidRPr="009F6E4B">
        <w:rPr>
          <w:rFonts w:cs="Calibri"/>
          <w:sz w:val="20"/>
          <w:szCs w:val="20"/>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9F6E4B">
        <w:rPr>
          <w:rFonts w:cs="Calibri"/>
          <w:sz w:val="20"/>
          <w:szCs w:val="20"/>
        </w:rPr>
        <w:t>.</w:t>
      </w:r>
    </w:p>
    <w:p w14:paraId="2092EF68" w14:textId="77777777" w:rsidR="00D5018E" w:rsidRPr="009F6E4B" w:rsidRDefault="00D5018E" w:rsidP="00D5018E">
      <w:pPr>
        <w:pBdr>
          <w:bottom w:val="single" w:sz="12" w:space="1" w:color="auto"/>
        </w:pBdr>
        <w:tabs>
          <w:tab w:val="left" w:leader="underscore" w:pos="9639"/>
        </w:tabs>
        <w:spacing w:after="0" w:line="240" w:lineRule="auto"/>
        <w:jc w:val="both"/>
        <w:rPr>
          <w:rFonts w:cs="Calibri"/>
          <w:sz w:val="20"/>
          <w:szCs w:val="20"/>
        </w:rPr>
      </w:pPr>
    </w:p>
    <w:p w14:paraId="16E74ADB" w14:textId="77777777" w:rsidR="00231FBE" w:rsidRPr="009F6E4B" w:rsidRDefault="00231FBE" w:rsidP="00D5018E">
      <w:pPr>
        <w:pBdr>
          <w:bottom w:val="single" w:sz="12" w:space="1" w:color="auto"/>
        </w:pBdr>
        <w:tabs>
          <w:tab w:val="left" w:leader="underscore" w:pos="9639"/>
        </w:tabs>
        <w:spacing w:after="0" w:line="240" w:lineRule="auto"/>
        <w:jc w:val="both"/>
        <w:rPr>
          <w:rFonts w:cs="Calibri"/>
          <w:sz w:val="20"/>
          <w:szCs w:val="20"/>
        </w:rPr>
      </w:pPr>
    </w:p>
    <w:p w14:paraId="3FF73356" w14:textId="77777777" w:rsidR="00D5018E" w:rsidRPr="009F6E4B" w:rsidRDefault="00D5018E" w:rsidP="00D5018E">
      <w:pPr>
        <w:tabs>
          <w:tab w:val="left" w:leader="underscore" w:pos="9639"/>
        </w:tabs>
        <w:spacing w:after="0" w:line="240" w:lineRule="auto"/>
        <w:jc w:val="both"/>
        <w:rPr>
          <w:rFonts w:asciiTheme="minorHAnsi" w:hAnsiTheme="minorHAnsi" w:cstheme="minorHAnsi"/>
          <w:b/>
          <w:sz w:val="20"/>
          <w:szCs w:val="20"/>
        </w:rPr>
      </w:pPr>
    </w:p>
    <w:p w14:paraId="74D16815" w14:textId="2901A860" w:rsidR="00D5018E" w:rsidRPr="009F6E4B" w:rsidRDefault="00D5018E" w:rsidP="00CB41C4">
      <w:pPr>
        <w:tabs>
          <w:tab w:val="left" w:leader="underscore" w:pos="9639"/>
        </w:tabs>
        <w:spacing w:after="0" w:line="240" w:lineRule="auto"/>
        <w:jc w:val="both"/>
        <w:rPr>
          <w:rFonts w:asciiTheme="minorHAnsi" w:hAnsiTheme="minorHAnsi" w:cstheme="minorHAnsi"/>
          <w:sz w:val="20"/>
          <w:szCs w:val="20"/>
        </w:rPr>
      </w:pPr>
      <w:r w:rsidRPr="009F6E4B">
        <w:rPr>
          <w:rFonts w:asciiTheme="minorHAnsi" w:hAnsiTheme="minorHAnsi" w:cstheme="minorHAnsi"/>
          <w:b/>
          <w:sz w:val="20"/>
          <w:szCs w:val="20"/>
        </w:rPr>
        <w:t>Nota 1</w:t>
      </w:r>
      <w:r w:rsidRPr="009F6E4B">
        <w:rPr>
          <w:rFonts w:asciiTheme="minorHAnsi" w:hAnsiTheme="minorHAnsi" w:cstheme="minorHAnsi"/>
          <w:sz w:val="20"/>
          <w:szCs w:val="20"/>
        </w:rPr>
        <w:t>: En cada una de las 1</w:t>
      </w:r>
      <w:r w:rsidR="005053EE" w:rsidRPr="009F6E4B">
        <w:rPr>
          <w:rFonts w:asciiTheme="minorHAnsi" w:hAnsiTheme="minorHAnsi" w:cstheme="minorHAnsi"/>
          <w:sz w:val="20"/>
          <w:szCs w:val="20"/>
        </w:rPr>
        <w:t>5</w:t>
      </w:r>
      <w:r w:rsidRPr="009F6E4B">
        <w:rPr>
          <w:rFonts w:asciiTheme="minorHAnsi" w:hAnsiTheme="minorHAnsi" w:cstheme="minorHAnsi"/>
          <w:sz w:val="20"/>
          <w:szCs w:val="20"/>
        </w:rPr>
        <w:t xml:space="preserve"> notas de gestión administrativa el ente público deberá poner la nota correspondiente o en su caso la leyenda “</w:t>
      </w:r>
      <w:r w:rsidRPr="009F6E4B">
        <w:rPr>
          <w:rFonts w:asciiTheme="minorHAnsi" w:hAnsiTheme="minorHAnsi" w:cstheme="minorHAnsi"/>
          <w:b/>
          <w:bCs/>
          <w:sz w:val="20"/>
          <w:szCs w:val="20"/>
        </w:rPr>
        <w:t>Esta nota no le aplica al ente público” y una breve explicación del motivo por el cual no le es aplicable</w:t>
      </w:r>
      <w:r w:rsidRPr="009F6E4B">
        <w:rPr>
          <w:rFonts w:asciiTheme="minorHAnsi" w:hAnsiTheme="minorHAnsi" w:cstheme="minorHAnsi"/>
          <w:sz w:val="20"/>
          <w:szCs w:val="20"/>
        </w:rPr>
        <w:t>.</w:t>
      </w:r>
      <w:r w:rsidR="000310EF" w:rsidRPr="009F6E4B">
        <w:rPr>
          <w:rFonts w:asciiTheme="minorHAnsi" w:hAnsiTheme="minorHAnsi" w:cstheme="minorHAnsi"/>
          <w:sz w:val="20"/>
          <w:szCs w:val="20"/>
        </w:rPr>
        <w:t xml:space="preserve"> 06-12-2022</w:t>
      </w:r>
    </w:p>
    <w:sectPr w:rsidR="00D5018E" w:rsidRPr="009F6E4B"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17DF3" w14:textId="77777777" w:rsidR="00716EAF" w:rsidRDefault="00716EAF" w:rsidP="00E00323">
      <w:pPr>
        <w:spacing w:after="0" w:line="240" w:lineRule="auto"/>
      </w:pPr>
      <w:r>
        <w:separator/>
      </w:r>
    </w:p>
  </w:endnote>
  <w:endnote w:type="continuationSeparator" w:id="0">
    <w:p w14:paraId="20B6ED65" w14:textId="77777777" w:rsidR="00716EAF" w:rsidRDefault="00716EA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EndPr/>
    <w:sdtContent>
      <w:p w14:paraId="0ED0401D" w14:textId="77777777" w:rsidR="00203E34" w:rsidRDefault="00203E34" w:rsidP="00D5630A">
        <w:pPr>
          <w:pStyle w:val="Piedepgina"/>
        </w:pPr>
      </w:p>
      <w:tbl>
        <w:tblPr>
          <w:tblW w:w="12728" w:type="dxa"/>
          <w:tblLook w:val="04A0" w:firstRow="1" w:lastRow="0" w:firstColumn="1" w:lastColumn="0" w:noHBand="0" w:noVBand="1"/>
        </w:tblPr>
        <w:tblGrid>
          <w:gridCol w:w="9332"/>
          <w:gridCol w:w="1113"/>
          <w:gridCol w:w="1114"/>
          <w:gridCol w:w="1169"/>
        </w:tblGrid>
        <w:tr w:rsidR="005E6EA5" w:rsidRPr="005E6EA5" w14:paraId="34B920B6" w14:textId="77777777" w:rsidTr="00531FE8">
          <w:tc>
            <w:tcPr>
              <w:tcW w:w="3402" w:type="dxa"/>
            </w:tcPr>
            <w:tbl>
              <w:tblPr>
                <w:tblW w:w="0" w:type="auto"/>
                <w:jc w:val="center"/>
                <w:tblLook w:val="04A0" w:firstRow="1" w:lastRow="0" w:firstColumn="1" w:lastColumn="0" w:noHBand="0" w:noVBand="1"/>
              </w:tblPr>
              <w:tblGrid>
                <w:gridCol w:w="3304"/>
                <w:gridCol w:w="2707"/>
                <w:gridCol w:w="3105"/>
              </w:tblGrid>
              <w:tr w:rsidR="00531FE8" w:rsidRPr="004464E3" w14:paraId="04D8581B" w14:textId="77777777" w:rsidTr="00C953BD">
                <w:trPr>
                  <w:jc w:val="center"/>
                </w:trPr>
                <w:tc>
                  <w:tcPr>
                    <w:tcW w:w="3402" w:type="dxa"/>
                  </w:tcPr>
                  <w:p w14:paraId="11AE5240" w14:textId="77777777" w:rsidR="00531FE8" w:rsidRPr="004464E3" w:rsidRDefault="00531FE8" w:rsidP="00531FE8">
                    <w:pPr>
                      <w:tabs>
                        <w:tab w:val="left" w:pos="1260"/>
                      </w:tabs>
                      <w:spacing w:after="0"/>
                      <w:jc w:val="center"/>
                      <w:rPr>
                        <w:sz w:val="20"/>
                      </w:rPr>
                    </w:pPr>
                    <w:r>
                      <w:rPr>
                        <w:sz w:val="20"/>
                      </w:rPr>
                      <w:t>_______________________________</w:t>
                    </w:r>
                  </w:p>
                </w:tc>
                <w:tc>
                  <w:tcPr>
                    <w:tcW w:w="3050" w:type="dxa"/>
                    <w:shd w:val="clear" w:color="auto" w:fill="auto"/>
                  </w:tcPr>
                  <w:p w14:paraId="67961805" w14:textId="77777777" w:rsidR="00531FE8" w:rsidRPr="004464E3" w:rsidRDefault="00531FE8" w:rsidP="00531FE8">
                    <w:pPr>
                      <w:tabs>
                        <w:tab w:val="left" w:pos="1260"/>
                      </w:tabs>
                      <w:spacing w:after="0"/>
                      <w:jc w:val="center"/>
                      <w:rPr>
                        <w:sz w:val="20"/>
                      </w:rPr>
                    </w:pPr>
                    <w:r>
                      <w:rPr>
                        <w:sz w:val="20"/>
                      </w:rPr>
                      <w:t>_________________________</w:t>
                    </w:r>
                  </w:p>
                </w:tc>
                <w:tc>
                  <w:tcPr>
                    <w:tcW w:w="3226" w:type="dxa"/>
                  </w:tcPr>
                  <w:p w14:paraId="04246F8E" w14:textId="77777777" w:rsidR="00531FE8" w:rsidRPr="004464E3" w:rsidRDefault="00531FE8" w:rsidP="00531FE8">
                    <w:pPr>
                      <w:tabs>
                        <w:tab w:val="left" w:pos="1260"/>
                      </w:tabs>
                      <w:spacing w:after="0"/>
                      <w:jc w:val="center"/>
                      <w:rPr>
                        <w:sz w:val="20"/>
                      </w:rPr>
                    </w:pPr>
                    <w:r>
                      <w:rPr>
                        <w:sz w:val="20"/>
                      </w:rPr>
                      <w:t>_____________________________</w:t>
                    </w:r>
                  </w:p>
                </w:tc>
              </w:tr>
              <w:tr w:rsidR="00531FE8" w:rsidRPr="004464E3" w14:paraId="689ADFC8" w14:textId="77777777" w:rsidTr="00C953BD">
                <w:trPr>
                  <w:jc w:val="center"/>
                </w:trPr>
                <w:tc>
                  <w:tcPr>
                    <w:tcW w:w="3402" w:type="dxa"/>
                  </w:tcPr>
                  <w:p w14:paraId="7AB8BC27" w14:textId="77777777" w:rsidR="00531FE8" w:rsidRPr="004464E3" w:rsidRDefault="00531FE8" w:rsidP="00531FE8">
                    <w:pPr>
                      <w:tabs>
                        <w:tab w:val="left" w:pos="1260"/>
                      </w:tabs>
                      <w:spacing w:after="0" w:line="240" w:lineRule="auto"/>
                      <w:jc w:val="center"/>
                      <w:rPr>
                        <w:sz w:val="20"/>
                      </w:rPr>
                    </w:pPr>
                    <w:r>
                      <w:rPr>
                        <w:b/>
                        <w:bCs/>
                        <w:sz w:val="20"/>
                      </w:rPr>
                      <w:t>Arq. Samantha Smith Gutiérrez</w:t>
                    </w:r>
                  </w:p>
                  <w:p w14:paraId="1C1714CA" w14:textId="77777777" w:rsidR="00531FE8" w:rsidRPr="004464E3" w:rsidRDefault="00531FE8" w:rsidP="00531FE8">
                    <w:pPr>
                      <w:tabs>
                        <w:tab w:val="left" w:pos="1260"/>
                      </w:tabs>
                      <w:spacing w:after="0" w:line="240" w:lineRule="auto"/>
                      <w:jc w:val="center"/>
                      <w:rPr>
                        <w:sz w:val="20"/>
                      </w:rPr>
                    </w:pPr>
                    <w:r>
                      <w:rPr>
                        <w:b/>
                        <w:bCs/>
                        <w:sz w:val="20"/>
                      </w:rPr>
                      <w:t>Presidenta Municipal</w:t>
                    </w:r>
                  </w:p>
                </w:tc>
                <w:tc>
                  <w:tcPr>
                    <w:tcW w:w="3050" w:type="dxa"/>
                  </w:tcPr>
                  <w:p w14:paraId="3C853D29" w14:textId="3AF64089" w:rsidR="00531FE8" w:rsidRDefault="00531FE8" w:rsidP="00531FE8">
                    <w:pPr>
                      <w:tabs>
                        <w:tab w:val="left" w:pos="1260"/>
                      </w:tabs>
                      <w:spacing w:after="0" w:line="240" w:lineRule="auto"/>
                      <w:jc w:val="center"/>
                      <w:rPr>
                        <w:b/>
                        <w:bCs/>
                        <w:sz w:val="20"/>
                      </w:rPr>
                    </w:pPr>
                    <w:r>
                      <w:rPr>
                        <w:b/>
                        <w:bCs/>
                        <w:sz w:val="20"/>
                      </w:rPr>
                      <w:t xml:space="preserve">Lic. Adriana Ramírez </w:t>
                    </w:r>
                    <w:r w:rsidRPr="00531FE8">
                      <w:rPr>
                        <w:b/>
                        <w:bCs/>
                        <w:sz w:val="20"/>
                      </w:rPr>
                      <w:t>Valderrama</w:t>
                    </w:r>
                  </w:p>
                  <w:p w14:paraId="5E881513" w14:textId="213AB984" w:rsidR="00531FE8" w:rsidRPr="004464E3" w:rsidRDefault="00531FE8" w:rsidP="00531FE8">
                    <w:pPr>
                      <w:tabs>
                        <w:tab w:val="left" w:pos="1260"/>
                      </w:tabs>
                      <w:spacing w:after="0" w:line="240" w:lineRule="auto"/>
                      <w:jc w:val="center"/>
                      <w:rPr>
                        <w:sz w:val="20"/>
                      </w:rPr>
                    </w:pPr>
                    <w:r>
                      <w:rPr>
                        <w:b/>
                        <w:bCs/>
                        <w:sz w:val="20"/>
                      </w:rPr>
                      <w:t>Síndica</w:t>
                    </w:r>
                    <w:r w:rsidRPr="004464E3">
                      <w:rPr>
                        <w:b/>
                        <w:bCs/>
                        <w:sz w:val="20"/>
                      </w:rPr>
                      <w:t xml:space="preserve"> del H. Ayuntamiento</w:t>
                    </w:r>
                  </w:p>
                </w:tc>
                <w:tc>
                  <w:tcPr>
                    <w:tcW w:w="3226" w:type="dxa"/>
                  </w:tcPr>
                  <w:p w14:paraId="259D692C" w14:textId="77777777" w:rsidR="00531FE8" w:rsidRPr="004464E3" w:rsidRDefault="00531FE8" w:rsidP="00531FE8">
                    <w:pPr>
                      <w:tabs>
                        <w:tab w:val="left" w:pos="1260"/>
                      </w:tabs>
                      <w:spacing w:after="0" w:line="240" w:lineRule="auto"/>
                      <w:jc w:val="center"/>
                      <w:rPr>
                        <w:sz w:val="20"/>
                      </w:rPr>
                    </w:pPr>
                    <w:r>
                      <w:rPr>
                        <w:b/>
                        <w:bCs/>
                        <w:sz w:val="20"/>
                      </w:rPr>
                      <w:t>C.P. Irma Mandujano García</w:t>
                    </w:r>
                  </w:p>
                  <w:p w14:paraId="22D88CB6" w14:textId="77777777" w:rsidR="00531FE8" w:rsidRPr="004464E3" w:rsidRDefault="00531FE8" w:rsidP="00531FE8">
                    <w:pPr>
                      <w:tabs>
                        <w:tab w:val="left" w:pos="1260"/>
                      </w:tabs>
                      <w:spacing w:after="0" w:line="240" w:lineRule="auto"/>
                      <w:jc w:val="center"/>
                      <w:rPr>
                        <w:sz w:val="20"/>
                      </w:rPr>
                    </w:pPr>
                    <w:r>
                      <w:rPr>
                        <w:b/>
                        <w:bCs/>
                        <w:sz w:val="20"/>
                      </w:rPr>
                      <w:t>Tesorera</w:t>
                    </w:r>
                    <w:r w:rsidRPr="004464E3">
                      <w:rPr>
                        <w:b/>
                        <w:bCs/>
                        <w:sz w:val="20"/>
                      </w:rPr>
                      <w:t xml:space="preserve"> Municipal</w:t>
                    </w:r>
                  </w:p>
                </w:tc>
              </w:tr>
            </w:tbl>
            <w:p w14:paraId="66385839" w14:textId="43013A47" w:rsidR="005E6EA5" w:rsidRPr="005E6EA5" w:rsidRDefault="005E6EA5" w:rsidP="005E6EA5">
              <w:pPr>
                <w:tabs>
                  <w:tab w:val="left" w:pos="1260"/>
                </w:tabs>
                <w:spacing w:after="0"/>
                <w:jc w:val="center"/>
                <w:rPr>
                  <w:sz w:val="14"/>
                  <w:szCs w:val="14"/>
                </w:rPr>
              </w:pPr>
            </w:p>
          </w:tc>
          <w:tc>
            <w:tcPr>
              <w:tcW w:w="3050" w:type="dxa"/>
            </w:tcPr>
            <w:p w14:paraId="1966F1C5" w14:textId="25EE535F" w:rsidR="005E6EA5" w:rsidRPr="005E6EA5" w:rsidRDefault="005E6EA5" w:rsidP="005E6EA5">
              <w:pPr>
                <w:tabs>
                  <w:tab w:val="left" w:pos="1260"/>
                </w:tabs>
                <w:spacing w:after="0"/>
                <w:jc w:val="center"/>
                <w:rPr>
                  <w:sz w:val="14"/>
                  <w:szCs w:val="14"/>
                </w:rPr>
              </w:pPr>
            </w:p>
          </w:tc>
          <w:tc>
            <w:tcPr>
              <w:tcW w:w="3050" w:type="dxa"/>
              <w:shd w:val="clear" w:color="auto" w:fill="auto"/>
            </w:tcPr>
            <w:p w14:paraId="1A9D6BAF" w14:textId="4F5FB6A2" w:rsidR="005E6EA5" w:rsidRPr="005E6EA5" w:rsidRDefault="005E6EA5" w:rsidP="005E6EA5">
              <w:pPr>
                <w:tabs>
                  <w:tab w:val="left" w:pos="1260"/>
                </w:tabs>
                <w:spacing w:after="0"/>
                <w:jc w:val="center"/>
                <w:rPr>
                  <w:sz w:val="14"/>
                  <w:szCs w:val="14"/>
                </w:rPr>
              </w:pPr>
            </w:p>
          </w:tc>
          <w:tc>
            <w:tcPr>
              <w:tcW w:w="3226" w:type="dxa"/>
            </w:tcPr>
            <w:p w14:paraId="2438DE69" w14:textId="5D66E4AD" w:rsidR="005E6EA5" w:rsidRPr="005E6EA5" w:rsidRDefault="005E6EA5" w:rsidP="005E6EA5">
              <w:pPr>
                <w:tabs>
                  <w:tab w:val="left" w:pos="1260"/>
                </w:tabs>
                <w:spacing w:after="0"/>
                <w:jc w:val="center"/>
                <w:rPr>
                  <w:sz w:val="14"/>
                  <w:szCs w:val="14"/>
                </w:rPr>
              </w:pPr>
            </w:p>
          </w:tc>
        </w:tr>
        <w:tr w:rsidR="005E6EA5" w:rsidRPr="005E6EA5" w14:paraId="765AFD11" w14:textId="77777777" w:rsidTr="00531FE8">
          <w:tc>
            <w:tcPr>
              <w:tcW w:w="3402" w:type="dxa"/>
            </w:tcPr>
            <w:p w14:paraId="5D732188" w14:textId="5F16E60B" w:rsidR="005E6EA5" w:rsidRPr="005E6EA5" w:rsidRDefault="005E6EA5" w:rsidP="005E6EA5">
              <w:pPr>
                <w:tabs>
                  <w:tab w:val="left" w:pos="1260"/>
                </w:tabs>
                <w:spacing w:after="0" w:line="240" w:lineRule="auto"/>
                <w:jc w:val="center"/>
                <w:rPr>
                  <w:sz w:val="14"/>
                  <w:szCs w:val="14"/>
                </w:rPr>
              </w:pPr>
            </w:p>
          </w:tc>
          <w:tc>
            <w:tcPr>
              <w:tcW w:w="3050" w:type="dxa"/>
            </w:tcPr>
            <w:p w14:paraId="01C8E113" w14:textId="3AF83505" w:rsidR="005E6EA5" w:rsidRPr="005E6EA5" w:rsidRDefault="005E6EA5" w:rsidP="005E6EA5">
              <w:pPr>
                <w:tabs>
                  <w:tab w:val="left" w:pos="1260"/>
                </w:tabs>
                <w:spacing w:after="0" w:line="240" w:lineRule="auto"/>
                <w:jc w:val="center"/>
                <w:rPr>
                  <w:b/>
                  <w:bCs/>
                  <w:sz w:val="14"/>
                  <w:szCs w:val="14"/>
                </w:rPr>
              </w:pPr>
            </w:p>
          </w:tc>
          <w:tc>
            <w:tcPr>
              <w:tcW w:w="3050" w:type="dxa"/>
            </w:tcPr>
            <w:p w14:paraId="637E711E" w14:textId="3B4B7625" w:rsidR="005E6EA5" w:rsidRPr="00531FE8" w:rsidRDefault="005E6EA5" w:rsidP="00531FE8">
              <w:pPr>
                <w:tabs>
                  <w:tab w:val="left" w:pos="1260"/>
                </w:tabs>
                <w:spacing w:after="0" w:line="240" w:lineRule="auto"/>
                <w:rPr>
                  <w:b/>
                  <w:bCs/>
                  <w:sz w:val="14"/>
                  <w:szCs w:val="14"/>
                </w:rPr>
              </w:pPr>
            </w:p>
          </w:tc>
          <w:tc>
            <w:tcPr>
              <w:tcW w:w="3226" w:type="dxa"/>
            </w:tcPr>
            <w:p w14:paraId="4B116BA2" w14:textId="21259CAC" w:rsidR="005E6EA5" w:rsidRPr="005E6EA5" w:rsidRDefault="005E6EA5" w:rsidP="005E6EA5">
              <w:pPr>
                <w:tabs>
                  <w:tab w:val="left" w:pos="1260"/>
                </w:tabs>
                <w:spacing w:after="0" w:line="240" w:lineRule="auto"/>
                <w:jc w:val="center"/>
                <w:rPr>
                  <w:sz w:val="14"/>
                  <w:szCs w:val="14"/>
                </w:rPr>
              </w:pPr>
            </w:p>
          </w:tc>
        </w:tr>
      </w:tbl>
      <w:p w14:paraId="1BAB5F80" w14:textId="77777777" w:rsidR="00203E34" w:rsidRPr="00EA6E8C" w:rsidRDefault="00203E34" w:rsidP="00D5630A">
        <w:pPr>
          <w:tabs>
            <w:tab w:val="left" w:pos="1260"/>
          </w:tabs>
          <w:spacing w:after="0"/>
          <w:rPr>
            <w:b/>
            <w:i/>
            <w:sz w:val="16"/>
          </w:rPr>
        </w:pPr>
      </w:p>
      <w:p w14:paraId="187B81C0" w14:textId="77777777" w:rsidR="00203E34" w:rsidRPr="00F71996" w:rsidRDefault="00203E34" w:rsidP="00D5630A">
        <w:pPr>
          <w:tabs>
            <w:tab w:val="left" w:pos="1260"/>
          </w:tabs>
          <w:spacing w:after="0" w:line="240" w:lineRule="auto"/>
          <w:rPr>
            <w:b/>
            <w:i/>
            <w:sz w:val="16"/>
          </w:rPr>
        </w:pPr>
        <w:r w:rsidRPr="00EA6E8C">
          <w:rPr>
            <w:b/>
            <w:i/>
            <w:sz w:val="16"/>
          </w:rPr>
          <w:t>Bajo protesta de decir verdad declaramos que los Estados Financieros y sus notas, son razonablemente correctos y son responsabilidad del emisor.</w:t>
        </w:r>
      </w:p>
      <w:p w14:paraId="552D6AD4" w14:textId="77777777" w:rsidR="00203E34" w:rsidRDefault="00203E34" w:rsidP="00D5630A">
        <w:pPr>
          <w:pStyle w:val="Piedepgina"/>
          <w:jc w:val="center"/>
        </w:pPr>
        <w:r>
          <w:t xml:space="preserve">Página </w:t>
        </w:r>
        <w:sdt>
          <w:sdtPr>
            <w:id w:val="1099296862"/>
            <w:docPartObj>
              <w:docPartGallery w:val="Page Numbers (Bottom of Page)"/>
              <w:docPartUnique/>
            </w:docPartObj>
          </w:sdtPr>
          <w:sdtEndPr/>
          <w:sdtContent>
            <w:r>
              <w:fldChar w:fldCharType="begin"/>
            </w:r>
            <w:r>
              <w:instrText>PAGE   \* MERGEFORMAT</w:instrText>
            </w:r>
            <w:r>
              <w:fldChar w:fldCharType="separate"/>
            </w:r>
            <w:r w:rsidR="00A479CC" w:rsidRPr="00A479CC">
              <w:rPr>
                <w:noProof/>
                <w:lang w:val="es-ES"/>
              </w:rPr>
              <w:t>14</w:t>
            </w:r>
            <w:r>
              <w:fldChar w:fldCharType="end"/>
            </w:r>
          </w:sdtContent>
        </w:sdt>
      </w:p>
      <w:p w14:paraId="45A1378E" w14:textId="177F6EF4" w:rsidR="00203E34" w:rsidRDefault="00716EAF" w:rsidP="00D5630A">
        <w:pPr>
          <w:pStyle w:val="Piedepgina"/>
        </w:pPr>
      </w:p>
    </w:sdtContent>
  </w:sdt>
  <w:p w14:paraId="37983FFD" w14:textId="77777777" w:rsidR="00203E34" w:rsidRDefault="00203E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80DDF" w14:textId="77777777" w:rsidR="00716EAF" w:rsidRDefault="00716EAF" w:rsidP="00E00323">
      <w:pPr>
        <w:spacing w:after="0" w:line="240" w:lineRule="auto"/>
      </w:pPr>
      <w:r>
        <w:separator/>
      </w:r>
    </w:p>
  </w:footnote>
  <w:footnote w:type="continuationSeparator" w:id="0">
    <w:p w14:paraId="38480BA2" w14:textId="77777777" w:rsidR="00716EAF" w:rsidRDefault="00716EAF"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2B7F" w14:textId="3D696F8A" w:rsidR="00203E34" w:rsidRPr="004464E3" w:rsidRDefault="00203E34" w:rsidP="00BA34B4">
    <w:pPr>
      <w:pStyle w:val="Encabezado"/>
      <w:tabs>
        <w:tab w:val="left" w:pos="672"/>
        <w:tab w:val="left" w:pos="2988"/>
        <w:tab w:val="center" w:pos="4844"/>
      </w:tabs>
      <w:spacing w:after="0" w:line="240" w:lineRule="auto"/>
      <w:jc w:val="center"/>
      <w:rPr>
        <w:b/>
      </w:rPr>
    </w:pPr>
    <w:r>
      <w:rPr>
        <w:noProof/>
        <w:lang w:eastAsia="es-MX"/>
      </w:rPr>
      <w:drawing>
        <wp:anchor distT="0" distB="0" distL="114300" distR="114300" simplePos="0" relativeHeight="251659264" behindDoc="1" locked="0" layoutInCell="1" allowOverlap="1" wp14:anchorId="10E8D0B6" wp14:editId="72CF1348">
          <wp:simplePos x="0" y="0"/>
          <wp:positionH relativeFrom="margin">
            <wp:align>left</wp:align>
          </wp:positionH>
          <wp:positionV relativeFrom="paragraph">
            <wp:posOffset>-125730</wp:posOffset>
          </wp:positionV>
          <wp:extent cx="619125" cy="571162"/>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0829" t="10805" r="34494" b="18302"/>
                  <a:stretch/>
                </pic:blipFill>
                <pic:spPr bwMode="auto">
                  <a:xfrm>
                    <a:off x="0" y="0"/>
                    <a:ext cx="647340" cy="5971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464E3">
      <w:rPr>
        <w:b/>
      </w:rPr>
      <w:t>MUNICIPIO DE GUANAJUATO</w:t>
    </w:r>
  </w:p>
  <w:p w14:paraId="3ABAAE62" w14:textId="29D421B5" w:rsidR="00203E34" w:rsidRDefault="00203E34" w:rsidP="008D73FA">
    <w:pPr>
      <w:pStyle w:val="Encabezado"/>
      <w:tabs>
        <w:tab w:val="left" w:pos="495"/>
        <w:tab w:val="left" w:pos="672"/>
        <w:tab w:val="center" w:pos="4844"/>
      </w:tabs>
      <w:spacing w:after="0" w:line="240" w:lineRule="auto"/>
      <w:rPr>
        <w:b/>
      </w:rPr>
    </w:pPr>
    <w:r>
      <w:rPr>
        <w:b/>
      </w:rPr>
      <w:tab/>
    </w:r>
    <w:r>
      <w:rPr>
        <w:b/>
      </w:rPr>
      <w:tab/>
    </w:r>
    <w:r>
      <w:rPr>
        <w:b/>
      </w:rPr>
      <w:tab/>
    </w:r>
    <w:r w:rsidRPr="004464E3">
      <w:rPr>
        <w:b/>
      </w:rPr>
      <w:t>CORRESPONDI</w:t>
    </w:r>
    <w:r w:rsidR="006641EE">
      <w:rPr>
        <w:b/>
      </w:rPr>
      <w:t>ENTES AL 31</w:t>
    </w:r>
    <w:r>
      <w:rPr>
        <w:b/>
      </w:rPr>
      <w:t xml:space="preserve"> DE </w:t>
    </w:r>
    <w:r w:rsidR="00531FE8">
      <w:rPr>
        <w:b/>
      </w:rPr>
      <w:t>MARZO</w:t>
    </w:r>
    <w:r>
      <w:rPr>
        <w:b/>
      </w:rPr>
      <w:t xml:space="preserve"> DE 202</w:t>
    </w:r>
    <w:r w:rsidR="00531FE8">
      <w:rPr>
        <w:b/>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0D22"/>
    <w:multiLevelType w:val="hybridMultilevel"/>
    <w:tmpl w:val="23306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7F4FE1"/>
    <w:multiLevelType w:val="hybridMultilevel"/>
    <w:tmpl w:val="48124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D16D7D"/>
    <w:multiLevelType w:val="multilevel"/>
    <w:tmpl w:val="34A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32C13"/>
    <w:multiLevelType w:val="hybridMultilevel"/>
    <w:tmpl w:val="212AD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166B2E"/>
    <w:multiLevelType w:val="multilevel"/>
    <w:tmpl w:val="0E60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D917C1"/>
    <w:multiLevelType w:val="hybridMultilevel"/>
    <w:tmpl w:val="CC66F67A"/>
    <w:lvl w:ilvl="0" w:tplc="605AC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1A78E2"/>
    <w:multiLevelType w:val="hybridMultilevel"/>
    <w:tmpl w:val="8F30A636"/>
    <w:lvl w:ilvl="0" w:tplc="9246248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4A6E85"/>
    <w:multiLevelType w:val="hybridMultilevel"/>
    <w:tmpl w:val="7842F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3"/>
  </w:num>
  <w:num w:numId="6">
    <w:abstractNumId w:val="2"/>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5CCE"/>
    <w:rsid w:val="00030413"/>
    <w:rsid w:val="000310EF"/>
    <w:rsid w:val="00037299"/>
    <w:rsid w:val="00040D4F"/>
    <w:rsid w:val="000722D8"/>
    <w:rsid w:val="000832DA"/>
    <w:rsid w:val="00084EAE"/>
    <w:rsid w:val="00091CE6"/>
    <w:rsid w:val="00096031"/>
    <w:rsid w:val="000A7BB1"/>
    <w:rsid w:val="000B7810"/>
    <w:rsid w:val="000C3365"/>
    <w:rsid w:val="000C6F34"/>
    <w:rsid w:val="000D67B2"/>
    <w:rsid w:val="000E25FC"/>
    <w:rsid w:val="000E2B39"/>
    <w:rsid w:val="000E4C3A"/>
    <w:rsid w:val="000F0656"/>
    <w:rsid w:val="00106EE9"/>
    <w:rsid w:val="0012405A"/>
    <w:rsid w:val="0012493A"/>
    <w:rsid w:val="00154BA3"/>
    <w:rsid w:val="00163E45"/>
    <w:rsid w:val="0016736C"/>
    <w:rsid w:val="001771DF"/>
    <w:rsid w:val="00177339"/>
    <w:rsid w:val="001854D2"/>
    <w:rsid w:val="0019575F"/>
    <w:rsid w:val="001973A2"/>
    <w:rsid w:val="001A004E"/>
    <w:rsid w:val="001C34BC"/>
    <w:rsid w:val="001C710C"/>
    <w:rsid w:val="001C75F2"/>
    <w:rsid w:val="001D2063"/>
    <w:rsid w:val="001D43E9"/>
    <w:rsid w:val="001D69D6"/>
    <w:rsid w:val="001E1EDE"/>
    <w:rsid w:val="001E6439"/>
    <w:rsid w:val="00203E34"/>
    <w:rsid w:val="0021597D"/>
    <w:rsid w:val="00231FBE"/>
    <w:rsid w:val="00232175"/>
    <w:rsid w:val="0024740E"/>
    <w:rsid w:val="00261A4A"/>
    <w:rsid w:val="002722DD"/>
    <w:rsid w:val="0029578B"/>
    <w:rsid w:val="00295B72"/>
    <w:rsid w:val="00295B79"/>
    <w:rsid w:val="002A1D5B"/>
    <w:rsid w:val="002E1F53"/>
    <w:rsid w:val="002F79A2"/>
    <w:rsid w:val="00310C5E"/>
    <w:rsid w:val="003272F0"/>
    <w:rsid w:val="00340A3C"/>
    <w:rsid w:val="003453CA"/>
    <w:rsid w:val="0036703D"/>
    <w:rsid w:val="00396D53"/>
    <w:rsid w:val="003B33D2"/>
    <w:rsid w:val="003C0E8B"/>
    <w:rsid w:val="003D47A4"/>
    <w:rsid w:val="003E6C64"/>
    <w:rsid w:val="00412858"/>
    <w:rsid w:val="00412EEB"/>
    <w:rsid w:val="0043078C"/>
    <w:rsid w:val="00430E61"/>
    <w:rsid w:val="0043484C"/>
    <w:rsid w:val="00435A87"/>
    <w:rsid w:val="004403CE"/>
    <w:rsid w:val="004620C5"/>
    <w:rsid w:val="00471EE2"/>
    <w:rsid w:val="00482708"/>
    <w:rsid w:val="0048723B"/>
    <w:rsid w:val="004928EA"/>
    <w:rsid w:val="004A1077"/>
    <w:rsid w:val="004A3659"/>
    <w:rsid w:val="004A58C8"/>
    <w:rsid w:val="004B61E4"/>
    <w:rsid w:val="004C63B1"/>
    <w:rsid w:val="004C66D2"/>
    <w:rsid w:val="004C7312"/>
    <w:rsid w:val="004D77BE"/>
    <w:rsid w:val="004F234D"/>
    <w:rsid w:val="004F6FAC"/>
    <w:rsid w:val="00504B51"/>
    <w:rsid w:val="005053EE"/>
    <w:rsid w:val="00516100"/>
    <w:rsid w:val="00516A8F"/>
    <w:rsid w:val="00516E2E"/>
    <w:rsid w:val="00531FE8"/>
    <w:rsid w:val="0053580A"/>
    <w:rsid w:val="00540261"/>
    <w:rsid w:val="0054701E"/>
    <w:rsid w:val="00571415"/>
    <w:rsid w:val="0057148C"/>
    <w:rsid w:val="005832CC"/>
    <w:rsid w:val="0058492E"/>
    <w:rsid w:val="005928AF"/>
    <w:rsid w:val="00592A6D"/>
    <w:rsid w:val="005A651E"/>
    <w:rsid w:val="005B03B7"/>
    <w:rsid w:val="005B478F"/>
    <w:rsid w:val="005B5531"/>
    <w:rsid w:val="005C1004"/>
    <w:rsid w:val="005D32C1"/>
    <w:rsid w:val="005D3E43"/>
    <w:rsid w:val="005E231E"/>
    <w:rsid w:val="005E6EA5"/>
    <w:rsid w:val="005F2900"/>
    <w:rsid w:val="005F51CC"/>
    <w:rsid w:val="006027D8"/>
    <w:rsid w:val="00603389"/>
    <w:rsid w:val="0061351B"/>
    <w:rsid w:val="0064059E"/>
    <w:rsid w:val="00654F1D"/>
    <w:rsid w:val="00657009"/>
    <w:rsid w:val="006641EE"/>
    <w:rsid w:val="00673F8C"/>
    <w:rsid w:val="00681682"/>
    <w:rsid w:val="00681C79"/>
    <w:rsid w:val="006871CB"/>
    <w:rsid w:val="006A3515"/>
    <w:rsid w:val="006A65AB"/>
    <w:rsid w:val="006B0836"/>
    <w:rsid w:val="006B1ADF"/>
    <w:rsid w:val="006B5053"/>
    <w:rsid w:val="006B5FE1"/>
    <w:rsid w:val="006C03EA"/>
    <w:rsid w:val="006C1127"/>
    <w:rsid w:val="006C61B4"/>
    <w:rsid w:val="006F0687"/>
    <w:rsid w:val="006F77A8"/>
    <w:rsid w:val="00716EAF"/>
    <w:rsid w:val="00726802"/>
    <w:rsid w:val="00747A3B"/>
    <w:rsid w:val="00751251"/>
    <w:rsid w:val="007610BC"/>
    <w:rsid w:val="00761960"/>
    <w:rsid w:val="007714AB"/>
    <w:rsid w:val="00774F33"/>
    <w:rsid w:val="00794EC0"/>
    <w:rsid w:val="007B563B"/>
    <w:rsid w:val="007D1E76"/>
    <w:rsid w:val="007D4484"/>
    <w:rsid w:val="007E38A2"/>
    <w:rsid w:val="007E3F3E"/>
    <w:rsid w:val="007E6719"/>
    <w:rsid w:val="007F699D"/>
    <w:rsid w:val="00804FBD"/>
    <w:rsid w:val="00806269"/>
    <w:rsid w:val="00806C98"/>
    <w:rsid w:val="00807C3B"/>
    <w:rsid w:val="00835765"/>
    <w:rsid w:val="00837E88"/>
    <w:rsid w:val="00837F59"/>
    <w:rsid w:val="00854ADF"/>
    <w:rsid w:val="0086420E"/>
    <w:rsid w:val="0086459F"/>
    <w:rsid w:val="00881E50"/>
    <w:rsid w:val="00891A96"/>
    <w:rsid w:val="008931AA"/>
    <w:rsid w:val="008C1AC7"/>
    <w:rsid w:val="008C3BB8"/>
    <w:rsid w:val="008D274C"/>
    <w:rsid w:val="008D73FA"/>
    <w:rsid w:val="008E076C"/>
    <w:rsid w:val="008F379C"/>
    <w:rsid w:val="00905B59"/>
    <w:rsid w:val="00910ABC"/>
    <w:rsid w:val="00917839"/>
    <w:rsid w:val="0092765C"/>
    <w:rsid w:val="00967DDA"/>
    <w:rsid w:val="009736CB"/>
    <w:rsid w:val="009863A1"/>
    <w:rsid w:val="009C372B"/>
    <w:rsid w:val="009E3E71"/>
    <w:rsid w:val="009F6E4B"/>
    <w:rsid w:val="00A01636"/>
    <w:rsid w:val="00A1081E"/>
    <w:rsid w:val="00A1248E"/>
    <w:rsid w:val="00A15053"/>
    <w:rsid w:val="00A20D60"/>
    <w:rsid w:val="00A35661"/>
    <w:rsid w:val="00A45A6E"/>
    <w:rsid w:val="00A4610E"/>
    <w:rsid w:val="00A479CC"/>
    <w:rsid w:val="00A6346D"/>
    <w:rsid w:val="00A65256"/>
    <w:rsid w:val="00A730E0"/>
    <w:rsid w:val="00A7780B"/>
    <w:rsid w:val="00A84470"/>
    <w:rsid w:val="00A90973"/>
    <w:rsid w:val="00A913F2"/>
    <w:rsid w:val="00A93B94"/>
    <w:rsid w:val="00AA2768"/>
    <w:rsid w:val="00AA41E5"/>
    <w:rsid w:val="00AB4AA1"/>
    <w:rsid w:val="00AB722B"/>
    <w:rsid w:val="00AD5C80"/>
    <w:rsid w:val="00AE1F6A"/>
    <w:rsid w:val="00AF4375"/>
    <w:rsid w:val="00AF70FD"/>
    <w:rsid w:val="00B073DE"/>
    <w:rsid w:val="00B07431"/>
    <w:rsid w:val="00B12ACD"/>
    <w:rsid w:val="00B32438"/>
    <w:rsid w:val="00B61F45"/>
    <w:rsid w:val="00B62717"/>
    <w:rsid w:val="00B6368B"/>
    <w:rsid w:val="00B800BA"/>
    <w:rsid w:val="00B86907"/>
    <w:rsid w:val="00B91CAA"/>
    <w:rsid w:val="00BA34B4"/>
    <w:rsid w:val="00BA53FE"/>
    <w:rsid w:val="00BB7FDF"/>
    <w:rsid w:val="00BC485B"/>
    <w:rsid w:val="00BC4C6B"/>
    <w:rsid w:val="00BD451A"/>
    <w:rsid w:val="00BD5F2D"/>
    <w:rsid w:val="00BE02EB"/>
    <w:rsid w:val="00BE1EC4"/>
    <w:rsid w:val="00BF1337"/>
    <w:rsid w:val="00C34FD2"/>
    <w:rsid w:val="00C4250B"/>
    <w:rsid w:val="00C4625D"/>
    <w:rsid w:val="00C54C12"/>
    <w:rsid w:val="00C67E8E"/>
    <w:rsid w:val="00C84E07"/>
    <w:rsid w:val="00C91A7D"/>
    <w:rsid w:val="00C93C67"/>
    <w:rsid w:val="00C97E1E"/>
    <w:rsid w:val="00CA32EA"/>
    <w:rsid w:val="00CA6F8A"/>
    <w:rsid w:val="00CB41C4"/>
    <w:rsid w:val="00CD499A"/>
    <w:rsid w:val="00CF1316"/>
    <w:rsid w:val="00D06A73"/>
    <w:rsid w:val="00D10C8E"/>
    <w:rsid w:val="00D13C44"/>
    <w:rsid w:val="00D32331"/>
    <w:rsid w:val="00D40FC2"/>
    <w:rsid w:val="00D42BFB"/>
    <w:rsid w:val="00D455F3"/>
    <w:rsid w:val="00D5018E"/>
    <w:rsid w:val="00D5049C"/>
    <w:rsid w:val="00D546B2"/>
    <w:rsid w:val="00D5630A"/>
    <w:rsid w:val="00D71762"/>
    <w:rsid w:val="00D77245"/>
    <w:rsid w:val="00D81C6C"/>
    <w:rsid w:val="00D84CC2"/>
    <w:rsid w:val="00D8648E"/>
    <w:rsid w:val="00D90479"/>
    <w:rsid w:val="00D96D42"/>
    <w:rsid w:val="00D975B1"/>
    <w:rsid w:val="00DC34CC"/>
    <w:rsid w:val="00DD018C"/>
    <w:rsid w:val="00E00323"/>
    <w:rsid w:val="00E00762"/>
    <w:rsid w:val="00E11758"/>
    <w:rsid w:val="00E14820"/>
    <w:rsid w:val="00E16610"/>
    <w:rsid w:val="00E352CB"/>
    <w:rsid w:val="00E74967"/>
    <w:rsid w:val="00E7559F"/>
    <w:rsid w:val="00E82E18"/>
    <w:rsid w:val="00E85520"/>
    <w:rsid w:val="00E9132F"/>
    <w:rsid w:val="00EA37F5"/>
    <w:rsid w:val="00EA7915"/>
    <w:rsid w:val="00EB0FFD"/>
    <w:rsid w:val="00EB141D"/>
    <w:rsid w:val="00EC077C"/>
    <w:rsid w:val="00ED2D94"/>
    <w:rsid w:val="00ED7AA0"/>
    <w:rsid w:val="00F067C8"/>
    <w:rsid w:val="00F245C9"/>
    <w:rsid w:val="00F273BE"/>
    <w:rsid w:val="00F35D69"/>
    <w:rsid w:val="00F40154"/>
    <w:rsid w:val="00F4110D"/>
    <w:rsid w:val="00F43AC5"/>
    <w:rsid w:val="00F461EB"/>
    <w:rsid w:val="00F46719"/>
    <w:rsid w:val="00F54F6F"/>
    <w:rsid w:val="00F60DC2"/>
    <w:rsid w:val="00F6102D"/>
    <w:rsid w:val="00F65A92"/>
    <w:rsid w:val="00F6759B"/>
    <w:rsid w:val="00F92F58"/>
    <w:rsid w:val="00FA067D"/>
    <w:rsid w:val="00FA4166"/>
    <w:rsid w:val="00FC1AE8"/>
    <w:rsid w:val="00FC3698"/>
    <w:rsid w:val="00FF25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Sinespaciado">
    <w:name w:val="No Spacing"/>
    <w:uiPriority w:val="1"/>
    <w:qFormat/>
    <w:rsid w:val="001771DF"/>
    <w:rPr>
      <w:sz w:val="22"/>
      <w:szCs w:val="22"/>
      <w:lang w:eastAsia="en-US"/>
    </w:rPr>
  </w:style>
  <w:style w:type="paragraph" w:customStyle="1" w:styleId="Default">
    <w:name w:val="Default"/>
    <w:rsid w:val="002F79A2"/>
    <w:pPr>
      <w:autoSpaceDE w:val="0"/>
      <w:autoSpaceDN w:val="0"/>
      <w:adjustRightInd w:val="0"/>
    </w:pPr>
    <w:rPr>
      <w:rFonts w:ascii="Arial" w:hAnsi="Arial" w:cs="Arial"/>
      <w:color w:val="000000"/>
      <w:sz w:val="24"/>
      <w:szCs w:val="24"/>
    </w:rPr>
  </w:style>
  <w:style w:type="paragraph" w:customStyle="1" w:styleId="Estndar">
    <w:name w:val="Estándar"/>
    <w:rsid w:val="00C91A7D"/>
    <w:rPr>
      <w:rFonts w:ascii="Times New Roman" w:eastAsia="Times New Roman" w:hAnsi="Times New Roman"/>
      <w:snapToGrid w:val="0"/>
      <w:color w:val="000000"/>
      <w:sz w:val="24"/>
      <w:lang w:val="es-ES" w:eastAsia="es-ES"/>
    </w:rPr>
  </w:style>
  <w:style w:type="character" w:customStyle="1" w:styleId="Mencinsinresolver1">
    <w:name w:val="Mención sin resolver1"/>
    <w:basedOn w:val="Fuentedeprrafopredeter"/>
    <w:uiPriority w:val="99"/>
    <w:semiHidden/>
    <w:unhideWhenUsed/>
    <w:rsid w:val="002E1F53"/>
    <w:rPr>
      <w:color w:val="605E5C"/>
      <w:shd w:val="clear" w:color="auto" w:fill="E1DFDD"/>
    </w:rPr>
  </w:style>
  <w:style w:type="character" w:styleId="Textoennegrita">
    <w:name w:val="Strong"/>
    <w:basedOn w:val="Fuentedeprrafopredeter"/>
    <w:uiPriority w:val="22"/>
    <w:qFormat/>
    <w:rsid w:val="00203E34"/>
    <w:rPr>
      <w:b/>
      <w:bCs/>
    </w:rPr>
  </w:style>
  <w:style w:type="paragraph" w:customStyle="1" w:styleId="paragraph">
    <w:name w:val="paragraph"/>
    <w:basedOn w:val="Normal"/>
    <w:rsid w:val="00D10C8E"/>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heading--6">
    <w:name w:val="heading--6"/>
    <w:basedOn w:val="Normal"/>
    <w:rsid w:val="00B61F45"/>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nnotatedmarkupdrop-caps8cwnc">
    <w:name w:val="annotatedmarkup_drop-caps__8cwnc"/>
    <w:basedOn w:val="Fuentedeprrafopredeter"/>
    <w:rsid w:val="00E00762"/>
  </w:style>
  <w:style w:type="paragraph" w:customStyle="1" w:styleId="typographytext-defaultp3oty">
    <w:name w:val="typography_text-default__p3oty"/>
    <w:basedOn w:val="Normal"/>
    <w:rsid w:val="00E0076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uv3um">
    <w:name w:val="uv3um"/>
    <w:basedOn w:val="Fuentedeprrafopredeter"/>
    <w:rsid w:val="00EB0FFD"/>
  </w:style>
  <w:style w:type="character" w:styleId="nfasis">
    <w:name w:val="Emphasis"/>
    <w:basedOn w:val="Fuentedeprrafopredeter"/>
    <w:uiPriority w:val="20"/>
    <w:qFormat/>
    <w:rsid w:val="000832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4822">
      <w:bodyDiv w:val="1"/>
      <w:marLeft w:val="0"/>
      <w:marRight w:val="0"/>
      <w:marTop w:val="0"/>
      <w:marBottom w:val="0"/>
      <w:divBdr>
        <w:top w:val="none" w:sz="0" w:space="0" w:color="auto"/>
        <w:left w:val="none" w:sz="0" w:space="0" w:color="auto"/>
        <w:bottom w:val="none" w:sz="0" w:space="0" w:color="auto"/>
        <w:right w:val="none" w:sz="0" w:space="0" w:color="auto"/>
      </w:divBdr>
    </w:div>
    <w:div w:id="125708720">
      <w:bodyDiv w:val="1"/>
      <w:marLeft w:val="0"/>
      <w:marRight w:val="0"/>
      <w:marTop w:val="0"/>
      <w:marBottom w:val="0"/>
      <w:divBdr>
        <w:top w:val="none" w:sz="0" w:space="0" w:color="auto"/>
        <w:left w:val="none" w:sz="0" w:space="0" w:color="auto"/>
        <w:bottom w:val="none" w:sz="0" w:space="0" w:color="auto"/>
        <w:right w:val="none" w:sz="0" w:space="0" w:color="auto"/>
      </w:divBdr>
    </w:div>
    <w:div w:id="158081313">
      <w:bodyDiv w:val="1"/>
      <w:marLeft w:val="0"/>
      <w:marRight w:val="0"/>
      <w:marTop w:val="0"/>
      <w:marBottom w:val="0"/>
      <w:divBdr>
        <w:top w:val="none" w:sz="0" w:space="0" w:color="auto"/>
        <w:left w:val="none" w:sz="0" w:space="0" w:color="auto"/>
        <w:bottom w:val="none" w:sz="0" w:space="0" w:color="auto"/>
        <w:right w:val="none" w:sz="0" w:space="0" w:color="auto"/>
      </w:divBdr>
    </w:div>
    <w:div w:id="212424345">
      <w:bodyDiv w:val="1"/>
      <w:marLeft w:val="0"/>
      <w:marRight w:val="0"/>
      <w:marTop w:val="0"/>
      <w:marBottom w:val="0"/>
      <w:divBdr>
        <w:top w:val="none" w:sz="0" w:space="0" w:color="auto"/>
        <w:left w:val="none" w:sz="0" w:space="0" w:color="auto"/>
        <w:bottom w:val="none" w:sz="0" w:space="0" w:color="auto"/>
        <w:right w:val="none" w:sz="0" w:space="0" w:color="auto"/>
      </w:divBdr>
    </w:div>
    <w:div w:id="295569014">
      <w:bodyDiv w:val="1"/>
      <w:marLeft w:val="0"/>
      <w:marRight w:val="0"/>
      <w:marTop w:val="0"/>
      <w:marBottom w:val="0"/>
      <w:divBdr>
        <w:top w:val="none" w:sz="0" w:space="0" w:color="auto"/>
        <w:left w:val="none" w:sz="0" w:space="0" w:color="auto"/>
        <w:bottom w:val="none" w:sz="0" w:space="0" w:color="auto"/>
        <w:right w:val="none" w:sz="0" w:space="0" w:color="auto"/>
      </w:divBdr>
    </w:div>
    <w:div w:id="360205097">
      <w:bodyDiv w:val="1"/>
      <w:marLeft w:val="0"/>
      <w:marRight w:val="0"/>
      <w:marTop w:val="0"/>
      <w:marBottom w:val="0"/>
      <w:divBdr>
        <w:top w:val="none" w:sz="0" w:space="0" w:color="auto"/>
        <w:left w:val="none" w:sz="0" w:space="0" w:color="auto"/>
        <w:bottom w:val="none" w:sz="0" w:space="0" w:color="auto"/>
        <w:right w:val="none" w:sz="0" w:space="0" w:color="auto"/>
      </w:divBdr>
    </w:div>
    <w:div w:id="362095568">
      <w:bodyDiv w:val="1"/>
      <w:marLeft w:val="0"/>
      <w:marRight w:val="0"/>
      <w:marTop w:val="0"/>
      <w:marBottom w:val="0"/>
      <w:divBdr>
        <w:top w:val="none" w:sz="0" w:space="0" w:color="auto"/>
        <w:left w:val="none" w:sz="0" w:space="0" w:color="auto"/>
        <w:bottom w:val="none" w:sz="0" w:space="0" w:color="auto"/>
        <w:right w:val="none" w:sz="0" w:space="0" w:color="auto"/>
      </w:divBdr>
    </w:div>
    <w:div w:id="552429841">
      <w:bodyDiv w:val="1"/>
      <w:marLeft w:val="0"/>
      <w:marRight w:val="0"/>
      <w:marTop w:val="0"/>
      <w:marBottom w:val="0"/>
      <w:divBdr>
        <w:top w:val="none" w:sz="0" w:space="0" w:color="auto"/>
        <w:left w:val="none" w:sz="0" w:space="0" w:color="auto"/>
        <w:bottom w:val="none" w:sz="0" w:space="0" w:color="auto"/>
        <w:right w:val="none" w:sz="0" w:space="0" w:color="auto"/>
      </w:divBdr>
    </w:div>
    <w:div w:id="628823113">
      <w:bodyDiv w:val="1"/>
      <w:marLeft w:val="0"/>
      <w:marRight w:val="0"/>
      <w:marTop w:val="0"/>
      <w:marBottom w:val="0"/>
      <w:divBdr>
        <w:top w:val="none" w:sz="0" w:space="0" w:color="auto"/>
        <w:left w:val="none" w:sz="0" w:space="0" w:color="auto"/>
        <w:bottom w:val="none" w:sz="0" w:space="0" w:color="auto"/>
        <w:right w:val="none" w:sz="0" w:space="0" w:color="auto"/>
      </w:divBdr>
    </w:div>
    <w:div w:id="743990825">
      <w:bodyDiv w:val="1"/>
      <w:marLeft w:val="0"/>
      <w:marRight w:val="0"/>
      <w:marTop w:val="0"/>
      <w:marBottom w:val="0"/>
      <w:divBdr>
        <w:top w:val="none" w:sz="0" w:space="0" w:color="auto"/>
        <w:left w:val="none" w:sz="0" w:space="0" w:color="auto"/>
        <w:bottom w:val="none" w:sz="0" w:space="0" w:color="auto"/>
        <w:right w:val="none" w:sz="0" w:space="0" w:color="auto"/>
      </w:divBdr>
    </w:div>
    <w:div w:id="956258545">
      <w:bodyDiv w:val="1"/>
      <w:marLeft w:val="0"/>
      <w:marRight w:val="0"/>
      <w:marTop w:val="0"/>
      <w:marBottom w:val="0"/>
      <w:divBdr>
        <w:top w:val="none" w:sz="0" w:space="0" w:color="auto"/>
        <w:left w:val="none" w:sz="0" w:space="0" w:color="auto"/>
        <w:bottom w:val="none" w:sz="0" w:space="0" w:color="auto"/>
        <w:right w:val="none" w:sz="0" w:space="0" w:color="auto"/>
      </w:divBdr>
    </w:div>
    <w:div w:id="1028918048">
      <w:bodyDiv w:val="1"/>
      <w:marLeft w:val="0"/>
      <w:marRight w:val="0"/>
      <w:marTop w:val="0"/>
      <w:marBottom w:val="0"/>
      <w:divBdr>
        <w:top w:val="none" w:sz="0" w:space="0" w:color="auto"/>
        <w:left w:val="none" w:sz="0" w:space="0" w:color="auto"/>
        <w:bottom w:val="none" w:sz="0" w:space="0" w:color="auto"/>
        <w:right w:val="none" w:sz="0" w:space="0" w:color="auto"/>
      </w:divBdr>
    </w:div>
    <w:div w:id="1125730594">
      <w:bodyDiv w:val="1"/>
      <w:marLeft w:val="0"/>
      <w:marRight w:val="0"/>
      <w:marTop w:val="0"/>
      <w:marBottom w:val="0"/>
      <w:divBdr>
        <w:top w:val="none" w:sz="0" w:space="0" w:color="auto"/>
        <w:left w:val="none" w:sz="0" w:space="0" w:color="auto"/>
        <w:bottom w:val="none" w:sz="0" w:space="0" w:color="auto"/>
        <w:right w:val="none" w:sz="0" w:space="0" w:color="auto"/>
      </w:divBdr>
    </w:div>
    <w:div w:id="1147627248">
      <w:bodyDiv w:val="1"/>
      <w:marLeft w:val="0"/>
      <w:marRight w:val="0"/>
      <w:marTop w:val="0"/>
      <w:marBottom w:val="0"/>
      <w:divBdr>
        <w:top w:val="none" w:sz="0" w:space="0" w:color="auto"/>
        <w:left w:val="none" w:sz="0" w:space="0" w:color="auto"/>
        <w:bottom w:val="none" w:sz="0" w:space="0" w:color="auto"/>
        <w:right w:val="none" w:sz="0" w:space="0" w:color="auto"/>
      </w:divBdr>
    </w:div>
    <w:div w:id="1155146916">
      <w:bodyDiv w:val="1"/>
      <w:marLeft w:val="0"/>
      <w:marRight w:val="0"/>
      <w:marTop w:val="0"/>
      <w:marBottom w:val="0"/>
      <w:divBdr>
        <w:top w:val="none" w:sz="0" w:space="0" w:color="auto"/>
        <w:left w:val="none" w:sz="0" w:space="0" w:color="auto"/>
        <w:bottom w:val="none" w:sz="0" w:space="0" w:color="auto"/>
        <w:right w:val="none" w:sz="0" w:space="0" w:color="auto"/>
      </w:divBdr>
    </w:div>
    <w:div w:id="1168129704">
      <w:bodyDiv w:val="1"/>
      <w:marLeft w:val="0"/>
      <w:marRight w:val="0"/>
      <w:marTop w:val="0"/>
      <w:marBottom w:val="0"/>
      <w:divBdr>
        <w:top w:val="none" w:sz="0" w:space="0" w:color="auto"/>
        <w:left w:val="none" w:sz="0" w:space="0" w:color="auto"/>
        <w:bottom w:val="none" w:sz="0" w:space="0" w:color="auto"/>
        <w:right w:val="none" w:sz="0" w:space="0" w:color="auto"/>
      </w:divBdr>
    </w:div>
    <w:div w:id="1197045289">
      <w:bodyDiv w:val="1"/>
      <w:marLeft w:val="0"/>
      <w:marRight w:val="0"/>
      <w:marTop w:val="0"/>
      <w:marBottom w:val="0"/>
      <w:divBdr>
        <w:top w:val="none" w:sz="0" w:space="0" w:color="auto"/>
        <w:left w:val="none" w:sz="0" w:space="0" w:color="auto"/>
        <w:bottom w:val="none" w:sz="0" w:space="0" w:color="auto"/>
        <w:right w:val="none" w:sz="0" w:space="0" w:color="auto"/>
      </w:divBdr>
    </w:div>
    <w:div w:id="1212838126">
      <w:bodyDiv w:val="1"/>
      <w:marLeft w:val="0"/>
      <w:marRight w:val="0"/>
      <w:marTop w:val="0"/>
      <w:marBottom w:val="0"/>
      <w:divBdr>
        <w:top w:val="none" w:sz="0" w:space="0" w:color="auto"/>
        <w:left w:val="none" w:sz="0" w:space="0" w:color="auto"/>
        <w:bottom w:val="none" w:sz="0" w:space="0" w:color="auto"/>
        <w:right w:val="none" w:sz="0" w:space="0" w:color="auto"/>
      </w:divBdr>
    </w:div>
    <w:div w:id="1303733616">
      <w:bodyDiv w:val="1"/>
      <w:marLeft w:val="0"/>
      <w:marRight w:val="0"/>
      <w:marTop w:val="0"/>
      <w:marBottom w:val="0"/>
      <w:divBdr>
        <w:top w:val="none" w:sz="0" w:space="0" w:color="auto"/>
        <w:left w:val="none" w:sz="0" w:space="0" w:color="auto"/>
        <w:bottom w:val="none" w:sz="0" w:space="0" w:color="auto"/>
        <w:right w:val="none" w:sz="0" w:space="0" w:color="auto"/>
      </w:divBdr>
    </w:div>
    <w:div w:id="1370835721">
      <w:bodyDiv w:val="1"/>
      <w:marLeft w:val="0"/>
      <w:marRight w:val="0"/>
      <w:marTop w:val="0"/>
      <w:marBottom w:val="0"/>
      <w:divBdr>
        <w:top w:val="none" w:sz="0" w:space="0" w:color="auto"/>
        <w:left w:val="none" w:sz="0" w:space="0" w:color="auto"/>
        <w:bottom w:val="none" w:sz="0" w:space="0" w:color="auto"/>
        <w:right w:val="none" w:sz="0" w:space="0" w:color="auto"/>
      </w:divBdr>
    </w:div>
    <w:div w:id="1376468704">
      <w:bodyDiv w:val="1"/>
      <w:marLeft w:val="0"/>
      <w:marRight w:val="0"/>
      <w:marTop w:val="0"/>
      <w:marBottom w:val="0"/>
      <w:divBdr>
        <w:top w:val="none" w:sz="0" w:space="0" w:color="auto"/>
        <w:left w:val="none" w:sz="0" w:space="0" w:color="auto"/>
        <w:bottom w:val="none" w:sz="0" w:space="0" w:color="auto"/>
        <w:right w:val="none" w:sz="0" w:space="0" w:color="auto"/>
      </w:divBdr>
    </w:div>
    <w:div w:id="1430466131">
      <w:bodyDiv w:val="1"/>
      <w:marLeft w:val="0"/>
      <w:marRight w:val="0"/>
      <w:marTop w:val="0"/>
      <w:marBottom w:val="0"/>
      <w:divBdr>
        <w:top w:val="none" w:sz="0" w:space="0" w:color="auto"/>
        <w:left w:val="none" w:sz="0" w:space="0" w:color="auto"/>
        <w:bottom w:val="none" w:sz="0" w:space="0" w:color="auto"/>
        <w:right w:val="none" w:sz="0" w:space="0" w:color="auto"/>
      </w:divBdr>
    </w:div>
    <w:div w:id="1435706169">
      <w:bodyDiv w:val="1"/>
      <w:marLeft w:val="0"/>
      <w:marRight w:val="0"/>
      <w:marTop w:val="0"/>
      <w:marBottom w:val="0"/>
      <w:divBdr>
        <w:top w:val="none" w:sz="0" w:space="0" w:color="auto"/>
        <w:left w:val="none" w:sz="0" w:space="0" w:color="auto"/>
        <w:bottom w:val="none" w:sz="0" w:space="0" w:color="auto"/>
        <w:right w:val="none" w:sz="0" w:space="0" w:color="auto"/>
      </w:divBdr>
    </w:div>
    <w:div w:id="1439179305">
      <w:bodyDiv w:val="1"/>
      <w:marLeft w:val="0"/>
      <w:marRight w:val="0"/>
      <w:marTop w:val="0"/>
      <w:marBottom w:val="0"/>
      <w:divBdr>
        <w:top w:val="none" w:sz="0" w:space="0" w:color="auto"/>
        <w:left w:val="none" w:sz="0" w:space="0" w:color="auto"/>
        <w:bottom w:val="none" w:sz="0" w:space="0" w:color="auto"/>
        <w:right w:val="none" w:sz="0" w:space="0" w:color="auto"/>
      </w:divBdr>
      <w:divsChild>
        <w:div w:id="602497707">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504396204">
      <w:bodyDiv w:val="1"/>
      <w:marLeft w:val="0"/>
      <w:marRight w:val="0"/>
      <w:marTop w:val="0"/>
      <w:marBottom w:val="0"/>
      <w:divBdr>
        <w:top w:val="none" w:sz="0" w:space="0" w:color="auto"/>
        <w:left w:val="none" w:sz="0" w:space="0" w:color="auto"/>
        <w:bottom w:val="none" w:sz="0" w:space="0" w:color="auto"/>
        <w:right w:val="none" w:sz="0" w:space="0" w:color="auto"/>
      </w:divBdr>
    </w:div>
    <w:div w:id="1516531219">
      <w:bodyDiv w:val="1"/>
      <w:marLeft w:val="0"/>
      <w:marRight w:val="0"/>
      <w:marTop w:val="0"/>
      <w:marBottom w:val="0"/>
      <w:divBdr>
        <w:top w:val="none" w:sz="0" w:space="0" w:color="auto"/>
        <w:left w:val="none" w:sz="0" w:space="0" w:color="auto"/>
        <w:bottom w:val="none" w:sz="0" w:space="0" w:color="auto"/>
        <w:right w:val="none" w:sz="0" w:space="0" w:color="auto"/>
      </w:divBdr>
    </w:div>
    <w:div w:id="1525628770">
      <w:bodyDiv w:val="1"/>
      <w:marLeft w:val="0"/>
      <w:marRight w:val="0"/>
      <w:marTop w:val="0"/>
      <w:marBottom w:val="0"/>
      <w:divBdr>
        <w:top w:val="none" w:sz="0" w:space="0" w:color="auto"/>
        <w:left w:val="none" w:sz="0" w:space="0" w:color="auto"/>
        <w:bottom w:val="none" w:sz="0" w:space="0" w:color="auto"/>
        <w:right w:val="none" w:sz="0" w:space="0" w:color="auto"/>
      </w:divBdr>
    </w:div>
    <w:div w:id="1582521890">
      <w:bodyDiv w:val="1"/>
      <w:marLeft w:val="0"/>
      <w:marRight w:val="0"/>
      <w:marTop w:val="0"/>
      <w:marBottom w:val="0"/>
      <w:divBdr>
        <w:top w:val="none" w:sz="0" w:space="0" w:color="auto"/>
        <w:left w:val="none" w:sz="0" w:space="0" w:color="auto"/>
        <w:bottom w:val="none" w:sz="0" w:space="0" w:color="auto"/>
        <w:right w:val="none" w:sz="0" w:space="0" w:color="auto"/>
      </w:divBdr>
    </w:div>
    <w:div w:id="1582636024">
      <w:bodyDiv w:val="1"/>
      <w:marLeft w:val="0"/>
      <w:marRight w:val="0"/>
      <w:marTop w:val="0"/>
      <w:marBottom w:val="0"/>
      <w:divBdr>
        <w:top w:val="none" w:sz="0" w:space="0" w:color="auto"/>
        <w:left w:val="none" w:sz="0" w:space="0" w:color="auto"/>
        <w:bottom w:val="none" w:sz="0" w:space="0" w:color="auto"/>
        <w:right w:val="none" w:sz="0" w:space="0" w:color="auto"/>
      </w:divBdr>
      <w:divsChild>
        <w:div w:id="1956980751">
          <w:marLeft w:val="0"/>
          <w:marRight w:val="0"/>
          <w:marTop w:val="0"/>
          <w:marBottom w:val="0"/>
          <w:divBdr>
            <w:top w:val="none" w:sz="0" w:space="0" w:color="auto"/>
            <w:left w:val="none" w:sz="0" w:space="0" w:color="auto"/>
            <w:bottom w:val="none" w:sz="0" w:space="0" w:color="auto"/>
            <w:right w:val="none" w:sz="0" w:space="0" w:color="auto"/>
          </w:divBdr>
        </w:div>
      </w:divsChild>
    </w:div>
    <w:div w:id="1627203337">
      <w:bodyDiv w:val="1"/>
      <w:marLeft w:val="0"/>
      <w:marRight w:val="0"/>
      <w:marTop w:val="0"/>
      <w:marBottom w:val="0"/>
      <w:divBdr>
        <w:top w:val="none" w:sz="0" w:space="0" w:color="auto"/>
        <w:left w:val="none" w:sz="0" w:space="0" w:color="auto"/>
        <w:bottom w:val="none" w:sz="0" w:space="0" w:color="auto"/>
        <w:right w:val="none" w:sz="0" w:space="0" w:color="auto"/>
      </w:divBdr>
    </w:div>
    <w:div w:id="1643120241">
      <w:bodyDiv w:val="1"/>
      <w:marLeft w:val="0"/>
      <w:marRight w:val="0"/>
      <w:marTop w:val="0"/>
      <w:marBottom w:val="0"/>
      <w:divBdr>
        <w:top w:val="none" w:sz="0" w:space="0" w:color="auto"/>
        <w:left w:val="none" w:sz="0" w:space="0" w:color="auto"/>
        <w:bottom w:val="none" w:sz="0" w:space="0" w:color="auto"/>
        <w:right w:val="none" w:sz="0" w:space="0" w:color="auto"/>
      </w:divBdr>
    </w:div>
    <w:div w:id="1739280844">
      <w:bodyDiv w:val="1"/>
      <w:marLeft w:val="0"/>
      <w:marRight w:val="0"/>
      <w:marTop w:val="0"/>
      <w:marBottom w:val="0"/>
      <w:divBdr>
        <w:top w:val="none" w:sz="0" w:space="0" w:color="auto"/>
        <w:left w:val="none" w:sz="0" w:space="0" w:color="auto"/>
        <w:bottom w:val="none" w:sz="0" w:space="0" w:color="auto"/>
        <w:right w:val="none" w:sz="0" w:space="0" w:color="auto"/>
      </w:divBdr>
    </w:div>
    <w:div w:id="1768840864">
      <w:bodyDiv w:val="1"/>
      <w:marLeft w:val="0"/>
      <w:marRight w:val="0"/>
      <w:marTop w:val="0"/>
      <w:marBottom w:val="0"/>
      <w:divBdr>
        <w:top w:val="none" w:sz="0" w:space="0" w:color="auto"/>
        <w:left w:val="none" w:sz="0" w:space="0" w:color="auto"/>
        <w:bottom w:val="none" w:sz="0" w:space="0" w:color="auto"/>
        <w:right w:val="none" w:sz="0" w:space="0" w:color="auto"/>
      </w:divBdr>
      <w:divsChild>
        <w:div w:id="2021927455">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861237647">
      <w:bodyDiv w:val="1"/>
      <w:marLeft w:val="0"/>
      <w:marRight w:val="0"/>
      <w:marTop w:val="0"/>
      <w:marBottom w:val="0"/>
      <w:divBdr>
        <w:top w:val="none" w:sz="0" w:space="0" w:color="auto"/>
        <w:left w:val="none" w:sz="0" w:space="0" w:color="auto"/>
        <w:bottom w:val="none" w:sz="0" w:space="0" w:color="auto"/>
        <w:right w:val="none" w:sz="0" w:space="0" w:color="auto"/>
      </w:divBdr>
      <w:divsChild>
        <w:div w:id="276915213">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914511706">
      <w:bodyDiv w:val="1"/>
      <w:marLeft w:val="0"/>
      <w:marRight w:val="0"/>
      <w:marTop w:val="0"/>
      <w:marBottom w:val="0"/>
      <w:divBdr>
        <w:top w:val="none" w:sz="0" w:space="0" w:color="auto"/>
        <w:left w:val="none" w:sz="0" w:space="0" w:color="auto"/>
        <w:bottom w:val="none" w:sz="0" w:space="0" w:color="auto"/>
        <w:right w:val="none" w:sz="0" w:space="0" w:color="auto"/>
      </w:divBdr>
      <w:divsChild>
        <w:div w:id="1993748853">
          <w:blockQuote w:val="1"/>
          <w:marLeft w:val="0"/>
          <w:marRight w:val="0"/>
          <w:marTop w:val="300"/>
          <w:marBottom w:val="450"/>
          <w:divBdr>
            <w:top w:val="none" w:sz="0" w:space="0" w:color="234B93"/>
            <w:left w:val="single" w:sz="36" w:space="15" w:color="234B93"/>
            <w:bottom w:val="none" w:sz="0" w:space="0" w:color="234B93"/>
            <w:right w:val="none" w:sz="0" w:space="0" w:color="234B93"/>
          </w:divBdr>
        </w:div>
      </w:divsChild>
    </w:div>
    <w:div w:id="1998266180">
      <w:bodyDiv w:val="1"/>
      <w:marLeft w:val="0"/>
      <w:marRight w:val="0"/>
      <w:marTop w:val="0"/>
      <w:marBottom w:val="0"/>
      <w:divBdr>
        <w:top w:val="none" w:sz="0" w:space="0" w:color="auto"/>
        <w:left w:val="none" w:sz="0" w:space="0" w:color="auto"/>
        <w:bottom w:val="none" w:sz="0" w:space="0" w:color="auto"/>
        <w:right w:val="none" w:sz="0" w:space="0" w:color="auto"/>
      </w:divBdr>
    </w:div>
    <w:div w:id="2041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oletines.guanajuato.gob.mx/2026/03/24/guanajuato-fortalece-su-desarrollo-economico-con-resultados-del-eje-de-prosperid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b.mx/shcp/prensa/el-consejo-de-estabilidad-del-sistema-financiero-actualiza-su-balance-de-riesgos-422483?idiom=es-M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F8C3AAB1-5F4B-4EF5-9B42-555BA5BF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17</Pages>
  <Words>4621</Words>
  <Characters>25419</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29981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Eve</cp:lastModifiedBy>
  <cp:revision>6</cp:revision>
  <cp:lastPrinted>2026-04-22T15:10:00Z</cp:lastPrinted>
  <dcterms:created xsi:type="dcterms:W3CDTF">2026-04-10T22:21:00Z</dcterms:created>
  <dcterms:modified xsi:type="dcterms:W3CDTF">2026-04-22T15:18:00Z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